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秦皇岛经济技术开发区管理委员会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政府信息公开工作年度报告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秦皇岛经济技术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开发区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（简称“开发区”）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深入贯彻落实《中华人民共和国政府信息公开条例》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，认真按照省、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要求部署，统筹谋划、扎实推进，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现将2024年政府信息公开工作情况报告如下：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（一）主动公开情况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本年度，开发区坚持以公开为常态、不公开为例外，紧紧围绕中心工作，通过政府网站、政务新媒体、新闻发布会等多种渠道，主动公开政府信息4000余条。在市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政府网站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推送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2200余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发布量创历史新高；在开发区管委门户网站发布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1800余条。其中，政务动态信息更新量1162条，信息公开目录信息更新163条，政策解读13条，维护专题专栏9个，信息更新督导短信发送3932条，民政互动栏目办结104件，办结率达到100%。例如，在政策文件公开方面，及时发布了《秦皇岛经济技术开发区2024年优化营商环境若干措施》《秦皇岛经济技术开发区2024年民生实事项目实施方案》等重要文件，为公众了解政策提供了便利；在工作动态公开方面，详细报道了“人工智能+”创新应用大赛、“聚焦开发区 奋进四十年”媒体联合采访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等活动开展情况，让公众能够实时掌握开发区重点工作进展。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（二）依申请公开情况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本年度，开发区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建立健全了依申请公开受理、审查、处理、答复以及保存备查等全流程工作机制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全年共受理依申请公开事项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34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其中行政复议12件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，均已按时办结。在办理过程中，严格按照《条例》规定，规范答复格式，确保答复内容准确、合法、合理，有效保障了申请人的合法权益。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（三）政府信息管理情况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完善政府信息管理机制，建立健全政府信息公开属性源头认定、保密审查、动态调整等工作制度。在信息制作过程中，明确信息公开属性，对拟公开信息进行严格审查，确保不涉及国家秘密、商业秘密和个人隐私。同时，定期对已公开信息进行梳理和评估，对因情况变化可以公开的信息及时予以公开，对已过期或失效的信息及时进行清理和更新，确保公开信息的准确性和时效性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（四）平台建设情况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持续加强政府网站和政务新媒体平台建设，优化网站栏目设置，丰富信息发布形式，提升用户体验。对原有投资园区专栏进行了改版升级，使网站布局更加合理、内容更加丰富。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在开发区门户网站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醒目位置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置“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河北惠企利民政策通”小程序等政策信息链接。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对各项政策进行广泛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、解读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，积极解答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企业和群众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政策咨询，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推动各类政策落地见效，充分释放政策红利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政务新媒体平台粉丝量稳步增长，通过发布图文、视频等多种形式的信息，吸引了大量公众关注。同时，加强平台安全管理，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落实每日读网、信息更新制度，日常加强信息质量、格式、时效性的督导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、落实，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确保网站高质量运行。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（五）公开制度建设情况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进一步完善了政务公开相关制度，明确了信息发布审核、保密审查、责任追究等各项规定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组织举办全区政务公开业务知识培训，邀请秦皇岛市专家授课，并进行座谈交流，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提升了整体工作的规范化水平。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同时，积极接受社会监督，畅通投诉举报渠道，认真处理公众对政府信息公开工作的投诉举报，本年度未收到相关投诉举报。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eastAsia="黑体"/>
          <w:color w:val="00000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81"/>
        <w:gridCol w:w="1271"/>
        <w:gridCol w:w="18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6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信息内容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Segoe UI" w:hAnsi="Segoe UI"/>
                <w:color w:val="000000"/>
                <w:sz w:val="3"/>
                <w:szCs w:val="3"/>
              </w:rPr>
            </w:pPr>
            <w:r>
              <w:rPr>
                <w:rFonts w:hint="eastAsia" w:ascii="宋体"/>
                <w:color w:val="000000"/>
                <w:sz w:val="20"/>
              </w:rPr>
              <w:t>本年</w:t>
            </w:r>
            <w:r>
              <w:rPr>
                <w:rFonts w:ascii="Segoe UI" w:hAnsi="Segoe UI"/>
                <w:color w:val="000000"/>
                <w:sz w:val="20"/>
              </w:rPr>
              <w:t>制</w:t>
            </w:r>
            <w:r>
              <w:rPr>
                <w:rFonts w:hint="eastAsia" w:ascii="Segoe UI" w:hAnsi="Segoe UI" w:eastAsia="宋体"/>
                <w:color w:val="000000"/>
                <w:sz w:val="20"/>
                <w:lang w:eastAsia="zh-CN"/>
              </w:rPr>
              <w:t>发件</w:t>
            </w:r>
            <w:r>
              <w:rPr>
                <w:rFonts w:ascii="Segoe UI" w:hAnsi="Segoe UI"/>
                <w:color w:val="000000"/>
                <w:sz w:val="20"/>
              </w:rPr>
              <w:t>数</w:t>
            </w:r>
          </w:p>
        </w:tc>
        <w:tc>
          <w:tcPr>
            <w:tcW w:w="127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Segoe UI" w:hAnsi="Segoe UI" w:eastAsia="宋体"/>
                <w:color w:val="000000"/>
                <w:sz w:val="3"/>
                <w:szCs w:val="3"/>
                <w:lang w:eastAsia="zh-CN"/>
              </w:rPr>
            </w:pPr>
            <w:r>
              <w:rPr>
                <w:rFonts w:hint="eastAsia" w:ascii="宋体"/>
                <w:color w:val="000000"/>
                <w:sz w:val="20"/>
              </w:rPr>
              <w:t>本年</w:t>
            </w:r>
            <w:r>
              <w:rPr>
                <w:rFonts w:hint="eastAsia" w:ascii="宋体" w:eastAsia="宋体"/>
                <w:color w:val="000000"/>
                <w:sz w:val="20"/>
                <w:lang w:eastAsia="zh-CN"/>
              </w:rPr>
              <w:t>废止件数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20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规章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1271" w:type="dxa"/>
            <w:shd w:val="clear" w:color="auto" w:fill="FFFFFF"/>
            <w:noWrap w:val="0"/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 w:eastAsia="宋体"/>
                <w:color w:val="000000"/>
                <w:sz w:val="20"/>
                <w:lang w:eastAsia="zh-CN"/>
              </w:rPr>
              <w:t>行政</w:t>
            </w:r>
            <w:r>
              <w:rPr>
                <w:rFonts w:hint="eastAsia" w:ascii="宋体"/>
                <w:color w:val="000000"/>
                <w:sz w:val="20"/>
              </w:rPr>
              <w:t>规范性文件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1271" w:type="dxa"/>
            <w:shd w:val="clear" w:color="auto" w:fill="FFFFFF"/>
            <w:noWrap w:val="0"/>
            <w:vAlign w:val="center"/>
          </w:tcPr>
          <w:p>
            <w:pPr>
              <w:spacing w:after="149"/>
              <w:jc w:val="center"/>
              <w:rPr>
                <w:rFonts w:hint="default" w:asci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0"/>
                <w:lang w:val="en-US" w:eastAsia="zh-CN"/>
              </w:rPr>
              <w:t>1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6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311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信息内容</w:t>
            </w:r>
          </w:p>
        </w:tc>
        <w:tc>
          <w:tcPr>
            <w:tcW w:w="5033" w:type="dxa"/>
            <w:gridSpan w:val="3"/>
            <w:shd w:val="clear" w:color="auto" w:fill="FFFFFF"/>
            <w:noWrap w:val="0"/>
            <w:vAlign w:val="center"/>
          </w:tcPr>
          <w:p>
            <w:pPr>
              <w:tabs>
                <w:tab w:val="left" w:pos="1177"/>
              </w:tabs>
              <w:jc w:val="left"/>
              <w:rPr>
                <w:rFonts w:hint="eastAsia" w:asci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20"/>
                <w:lang w:eastAsia="zh-CN"/>
              </w:rPr>
              <w:tab/>
            </w:r>
            <w:r>
              <w:rPr>
                <w:rFonts w:hint="eastAsia" w:ascii="宋体" w:eastAsia="宋体"/>
                <w:color w:val="000000"/>
                <w:sz w:val="20"/>
                <w:lang w:val="en-US" w:eastAsia="zh-CN"/>
              </w:rPr>
              <w:t xml:space="preserve">     </w:t>
            </w:r>
            <w:r>
              <w:rPr>
                <w:rFonts w:hint="eastAsia" w:ascii="宋体" w:eastAsia="宋体"/>
                <w:color w:val="000000"/>
                <w:sz w:val="20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行政许可</w:t>
            </w:r>
          </w:p>
        </w:tc>
        <w:tc>
          <w:tcPr>
            <w:tcW w:w="503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lang w:val="en-US" w:eastAsia="zh-CN"/>
              </w:rPr>
              <w:t>30556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6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信息内容</w:t>
            </w:r>
          </w:p>
        </w:tc>
        <w:tc>
          <w:tcPr>
            <w:tcW w:w="503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 w:eastAsia="宋体"/>
                <w:color w:val="000000"/>
                <w:sz w:val="20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行政处罚</w:t>
            </w:r>
          </w:p>
        </w:tc>
        <w:tc>
          <w:tcPr>
            <w:tcW w:w="503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行政强制</w:t>
            </w:r>
          </w:p>
        </w:tc>
        <w:tc>
          <w:tcPr>
            <w:tcW w:w="503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6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信息内容</w:t>
            </w:r>
          </w:p>
        </w:tc>
        <w:tc>
          <w:tcPr>
            <w:tcW w:w="503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行政事业性收费</w:t>
            </w:r>
          </w:p>
        </w:tc>
        <w:tc>
          <w:tcPr>
            <w:tcW w:w="5033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0"/>
                <w:lang w:val="en-US" w:eastAsia="zh-CN"/>
              </w:rPr>
              <w:t>837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收到和处理政府信息公开申请情况</w:t>
      </w:r>
    </w:p>
    <w:tbl>
      <w:tblPr>
        <w:tblStyle w:val="9"/>
        <w:tblW w:w="92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1058"/>
        <w:gridCol w:w="2770"/>
        <w:gridCol w:w="843"/>
        <w:gridCol w:w="432"/>
        <w:gridCol w:w="440"/>
        <w:gridCol w:w="825"/>
        <w:gridCol w:w="990"/>
        <w:gridCol w:w="720"/>
        <w:gridCol w:w="7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03" w:type="dxa"/>
            <w:gridSpan w:val="3"/>
            <w:vMerge w:val="restart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952" w:type="dxa"/>
            <w:gridSpan w:val="7"/>
            <w:tcBorders>
              <w:left w:val="nil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03" w:type="dxa"/>
            <w:gridSpan w:val="3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自然人</w:t>
            </w:r>
          </w:p>
        </w:tc>
        <w:tc>
          <w:tcPr>
            <w:tcW w:w="34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303" w:type="dxa"/>
            <w:gridSpan w:val="3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商业企业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jc w:val="center"/>
        </w:trPr>
        <w:tc>
          <w:tcPr>
            <w:tcW w:w="4303" w:type="dxa"/>
            <w:gridSpan w:val="3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一、本年新收政府信息公开申请数量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exact"/>
          <w:jc w:val="center"/>
        </w:trPr>
        <w:tc>
          <w:tcPr>
            <w:tcW w:w="4303" w:type="dxa"/>
            <w:gridSpan w:val="3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二、上年结转政府信息公开申请数量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exact"/>
          <w:jc w:val="center"/>
        </w:trPr>
        <w:tc>
          <w:tcPr>
            <w:tcW w:w="475" w:type="dxa"/>
            <w:vMerge w:val="restart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三、本年度办理结果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（一）予以公开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exact"/>
          <w:jc w:val="center"/>
        </w:trPr>
        <w:tc>
          <w:tcPr>
            <w:tcW w:w="475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38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（二）部分公开（区分处理的，只计这一情形，不计其他情形）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475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（三）不予公开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1.属于国家秘密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exact"/>
          <w:jc w:val="center"/>
        </w:trPr>
        <w:tc>
          <w:tcPr>
            <w:tcW w:w="475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2.其他法律行政法规禁止公开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exact"/>
          <w:jc w:val="center"/>
        </w:trPr>
        <w:tc>
          <w:tcPr>
            <w:tcW w:w="475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3.危及“三安全一稳定”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exact"/>
          <w:jc w:val="center"/>
        </w:trPr>
        <w:tc>
          <w:tcPr>
            <w:tcW w:w="475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4.保护第三方合法权益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exact"/>
          <w:jc w:val="center"/>
        </w:trPr>
        <w:tc>
          <w:tcPr>
            <w:tcW w:w="475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5.属于三类内部事务信息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exact"/>
          <w:jc w:val="center"/>
        </w:trPr>
        <w:tc>
          <w:tcPr>
            <w:tcW w:w="475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6.属于四类过程性信息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exact"/>
          <w:jc w:val="center"/>
        </w:trPr>
        <w:tc>
          <w:tcPr>
            <w:tcW w:w="475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7.属于行政执法案卷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exact"/>
          <w:jc w:val="center"/>
        </w:trPr>
        <w:tc>
          <w:tcPr>
            <w:tcW w:w="475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8.属于行政查询事项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475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（四）无法提供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1.本机关不掌握相关政府信息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exact"/>
          <w:jc w:val="center"/>
        </w:trPr>
        <w:tc>
          <w:tcPr>
            <w:tcW w:w="475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2.没有现成信息需要另行制作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475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3.补正后申请内容仍不明确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475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（五）不予处理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1.信访举报投诉类申请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exact"/>
          <w:jc w:val="center"/>
        </w:trPr>
        <w:tc>
          <w:tcPr>
            <w:tcW w:w="475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2.重复申请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exact"/>
          <w:jc w:val="center"/>
        </w:trPr>
        <w:tc>
          <w:tcPr>
            <w:tcW w:w="475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3.要求提供公开出版物</w:t>
            </w: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exact"/>
          <w:jc w:val="center"/>
        </w:trPr>
        <w:tc>
          <w:tcPr>
            <w:tcW w:w="475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4.无正当理由大量反复申请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exact"/>
          <w:jc w:val="center"/>
        </w:trPr>
        <w:tc>
          <w:tcPr>
            <w:tcW w:w="475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5.要求行政机关确认或重新出具已获取信息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exact"/>
          <w:jc w:val="center"/>
        </w:trPr>
        <w:tc>
          <w:tcPr>
            <w:tcW w:w="475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r>
              <w:rPr>
                <w:rFonts w:hint="eastAsia" w:ascii="宋体"/>
                <w:sz w:val="20"/>
              </w:rPr>
              <w:t>（六）其他处理</w:t>
            </w:r>
          </w:p>
        </w:tc>
        <w:tc>
          <w:tcPr>
            <w:tcW w:w="2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eastAsia="宋体"/>
                <w:sz w:val="20"/>
                <w:lang w:eastAsia="zh-CN"/>
              </w:rPr>
            </w:pPr>
            <w:r>
              <w:rPr>
                <w:rFonts w:hint="eastAsia" w:ascii="宋体"/>
                <w:sz w:val="20"/>
                <w:lang w:eastAsia="zh-CN"/>
              </w:rPr>
              <w:t>1.申请人无正当理由逾期不补正、行政机关不再处理其申请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eastAsia="zh-CN"/>
              </w:rPr>
            </w:pPr>
          </w:p>
        </w:tc>
        <w:tc>
          <w:tcPr>
            <w:tcW w:w="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exact"/>
          <w:jc w:val="center"/>
        </w:trPr>
        <w:tc>
          <w:tcPr>
            <w:tcW w:w="475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2.申请人逾期未按收费通知要求缴纳费用、行政机关不再处理其申请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475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0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2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3.其他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  <w:tc>
          <w:tcPr>
            <w:tcW w:w="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eastAsiaTheme="minor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75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38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4"/>
              <w:keepNext/>
              <w:keepLines/>
              <w:jc w:val="lef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（七）总计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34</w:t>
            </w:r>
          </w:p>
        </w:tc>
        <w:tc>
          <w:tcPr>
            <w:tcW w:w="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30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四、结转下年度继续办理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2</w:t>
            </w:r>
          </w:p>
        </w:tc>
        <w:tc>
          <w:tcPr>
            <w:tcW w:w="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>
            <w:pPr>
              <w:spacing w:after="149"/>
              <w:jc w:val="center"/>
              <w:rPr>
                <w:rFonts w:hint="default" w:ascii="宋体" w:eastAsiaTheme="minorEastAsia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2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640" w:firstLineChars="200"/>
        <w:jc w:val="both"/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9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行政诉讼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复议后起诉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604" w:type="dxa"/>
            <w:tcBorders>
              <w:top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default" w:ascii="Segoe UI" w:hAnsi="Segoe UI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0"/>
                <w:lang w:val="en-US" w:eastAsia="zh-CN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default" w:ascii="Segoe UI" w:hAnsi="Segoe UI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Segoe UI" w:hAnsi="Segoe UI"/>
                <w:color w:val="000000"/>
                <w:sz w:val="20"/>
                <w:lang w:val="en-US" w:eastAsia="zh-CN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default" w:ascii="Segoe UI" w:hAnsi="Segoe UI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0"/>
                <w:lang w:val="en-US" w:eastAsia="zh-CN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default" w:ascii="Segoe UI" w:hAnsi="Segoe UI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0"/>
                <w:lang w:val="en-US" w:eastAsia="zh-CN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default" w:ascii="Segoe UI" w:hAnsi="Segoe UI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0"/>
                <w:lang w:val="en-US" w:eastAsia="zh-CN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eastAsia" w:ascii="Segoe UI" w:hAnsi="Segoe UI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eastAsia" w:ascii="Segoe UI" w:hAnsi="Segoe UI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eastAsia" w:ascii="Segoe UI" w:hAnsi="Segoe UI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eastAsia" w:ascii="Segoe UI" w:hAnsi="Segoe UI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eastAsia" w:ascii="Segoe UI" w:hAnsi="Segoe UI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eastAsia" w:ascii="Segoe UI" w:hAnsi="Segoe UI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eastAsia" w:ascii="Segoe UI" w:hAnsi="Segoe UI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605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eastAsia" w:ascii="Segoe UI" w:hAnsi="Segoe UI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606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default" w:ascii="Segoe UI" w:hAnsi="Segoe UI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0"/>
                <w:lang w:val="en-US" w:eastAsia="zh-CN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spacing w:after="149"/>
              <w:jc w:val="center"/>
              <w:rPr>
                <w:rFonts w:hint="default" w:ascii="Segoe UI" w:hAnsi="Segoe UI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Segoe UI" w:hAnsi="Segoe UI" w:eastAsia="宋体"/>
                <w:color w:val="000000"/>
                <w:sz w:val="20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五、存</w:t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政务公开工作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虽然取得一定成绩，但也存在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一些不足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少数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政务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公开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主动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性、积极性不够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，存在推推动动、不推不动情况。为强化各单位对政务公开工作重要性的认识，明确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各单位一把手为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政务公开第一责任人，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在各部门推进建立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“主要领导亲自抓、分管领导具体抓、专门科室抓落实”工作体系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，形成层层负责、狠抓落实工作格局。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政府信息公开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内容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形式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比较单一，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主要以图片、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文字为主，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缺少视频、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图表、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新闻发布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现场解读等。为丰富政府信息公开内容，积极组织政务公开业务知识培训，对政府信息公开形式、渠道等进行细致讲解，引导各单位丰富公开形式，通过视频、图片等群众喜闻乐见的方式公开政府信息。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三是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政策解读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数量和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质量有待进一步提高。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为扎实做好政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解读工作，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进一步强化“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河北惠企利民政策通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”小程序录入工作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，明确解读流程、途径、方式、内容等，为各单位有效开展政策解读提供遵循。日常工作中，及时通知各政策制订单位，同步制作政策解读方案，政策与配套的政策解读同步进行公开、发布。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00935B"/>
    <w:multiLevelType w:val="singleLevel"/>
    <w:tmpl w:val="4300935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NDBkZTRjN2JkMzAxNmMyNjcyZWE2NjBiYmMwNjQifQ=="/>
  </w:docVars>
  <w:rsids>
    <w:rsidRoot w:val="11124693"/>
    <w:rsid w:val="0009446F"/>
    <w:rsid w:val="019A1259"/>
    <w:rsid w:val="09D77460"/>
    <w:rsid w:val="0E0619EA"/>
    <w:rsid w:val="0E0A1D39"/>
    <w:rsid w:val="10223FAC"/>
    <w:rsid w:val="11124693"/>
    <w:rsid w:val="12F048B5"/>
    <w:rsid w:val="13D607C3"/>
    <w:rsid w:val="142A18E3"/>
    <w:rsid w:val="14E82F59"/>
    <w:rsid w:val="16C34F7E"/>
    <w:rsid w:val="174C79F9"/>
    <w:rsid w:val="183E1848"/>
    <w:rsid w:val="185E45E0"/>
    <w:rsid w:val="1953141A"/>
    <w:rsid w:val="1BA11DBE"/>
    <w:rsid w:val="1BE14E8B"/>
    <w:rsid w:val="1F3B27C6"/>
    <w:rsid w:val="21541DEF"/>
    <w:rsid w:val="23150C1B"/>
    <w:rsid w:val="2329645F"/>
    <w:rsid w:val="24053BEF"/>
    <w:rsid w:val="250F2F11"/>
    <w:rsid w:val="26A036EA"/>
    <w:rsid w:val="29B13584"/>
    <w:rsid w:val="29D71FB3"/>
    <w:rsid w:val="2B5E180F"/>
    <w:rsid w:val="2C6A7D6E"/>
    <w:rsid w:val="2C9018F9"/>
    <w:rsid w:val="2CE268A5"/>
    <w:rsid w:val="2ECB4CA9"/>
    <w:rsid w:val="2F2F348A"/>
    <w:rsid w:val="329B6B75"/>
    <w:rsid w:val="32BE33BF"/>
    <w:rsid w:val="32F17A60"/>
    <w:rsid w:val="33624FBA"/>
    <w:rsid w:val="34632299"/>
    <w:rsid w:val="35AB3D99"/>
    <w:rsid w:val="36CD0523"/>
    <w:rsid w:val="36EE500F"/>
    <w:rsid w:val="386A0C9E"/>
    <w:rsid w:val="3F304C97"/>
    <w:rsid w:val="3FDA3619"/>
    <w:rsid w:val="426901F5"/>
    <w:rsid w:val="45D41016"/>
    <w:rsid w:val="46360051"/>
    <w:rsid w:val="46541E5B"/>
    <w:rsid w:val="48F3264C"/>
    <w:rsid w:val="495906E1"/>
    <w:rsid w:val="4A8D2035"/>
    <w:rsid w:val="4F764366"/>
    <w:rsid w:val="505A746A"/>
    <w:rsid w:val="50BA4E19"/>
    <w:rsid w:val="54806C92"/>
    <w:rsid w:val="55C401CC"/>
    <w:rsid w:val="561C756C"/>
    <w:rsid w:val="57497CEB"/>
    <w:rsid w:val="595F406E"/>
    <w:rsid w:val="5ABD6C0D"/>
    <w:rsid w:val="5B660576"/>
    <w:rsid w:val="5BC04547"/>
    <w:rsid w:val="5BE21869"/>
    <w:rsid w:val="5C9B3D47"/>
    <w:rsid w:val="5CE6658D"/>
    <w:rsid w:val="5E1F4884"/>
    <w:rsid w:val="5E494709"/>
    <w:rsid w:val="5EB705F9"/>
    <w:rsid w:val="5FD655E5"/>
    <w:rsid w:val="612B6A58"/>
    <w:rsid w:val="62314CE7"/>
    <w:rsid w:val="63872B56"/>
    <w:rsid w:val="65410B31"/>
    <w:rsid w:val="654242D1"/>
    <w:rsid w:val="684F7553"/>
    <w:rsid w:val="6C6658B0"/>
    <w:rsid w:val="6CB758BD"/>
    <w:rsid w:val="6DAE6C0E"/>
    <w:rsid w:val="6DD8319E"/>
    <w:rsid w:val="6E847122"/>
    <w:rsid w:val="6E9B2BDC"/>
    <w:rsid w:val="70B82429"/>
    <w:rsid w:val="71004AED"/>
    <w:rsid w:val="714857E8"/>
    <w:rsid w:val="71E216E7"/>
    <w:rsid w:val="736D487B"/>
    <w:rsid w:val="741262B2"/>
    <w:rsid w:val="749746BC"/>
    <w:rsid w:val="74F320A1"/>
    <w:rsid w:val="75DC4D0C"/>
    <w:rsid w:val="76BA05D5"/>
    <w:rsid w:val="7A956B34"/>
    <w:rsid w:val="7D072223"/>
    <w:rsid w:val="7F5A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420"/>
    </w:pPr>
  </w:style>
  <w:style w:type="paragraph" w:styleId="7">
    <w:name w:val="Normal (Web)"/>
    <w:basedOn w:val="1"/>
    <w:next w:val="6"/>
    <w:qFormat/>
    <w:uiPriority w:val="0"/>
    <w:rPr>
      <w:sz w:val="24"/>
    </w:rPr>
  </w:style>
  <w:style w:type="paragraph" w:styleId="8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Char"/>
    <w:link w:val="8"/>
    <w:qFormat/>
    <w:uiPriority w:val="0"/>
    <w:rPr>
      <w:rFonts w:ascii="Cambria" w:hAnsi="Cambria"/>
      <w:b/>
      <w:bCs/>
      <w:kern w:val="0"/>
      <w:sz w:val="32"/>
      <w:szCs w:val="32"/>
    </w:rPr>
  </w:style>
  <w:style w:type="paragraph" w:customStyle="1" w:styleId="13">
    <w:name w:val="wfs正文"/>
    <w:basedOn w:val="1"/>
    <w:qFormat/>
    <w:uiPriority w:val="0"/>
    <w:pPr>
      <w:ind w:firstLine="676" w:firstLineChars="200"/>
    </w:pPr>
    <w:rPr>
      <w:rFonts w:ascii="Times New Roman" w:hAnsi="Times New Roman" w:eastAsia="仿宋_GB2312" w:cs="Times New Roman"/>
      <w:sz w:val="30"/>
    </w:rPr>
  </w:style>
  <w:style w:type="paragraph" w:customStyle="1" w:styleId="14">
    <w:name w:val="Heading #2|1"/>
    <w:basedOn w:val="1"/>
    <w:qFormat/>
    <w:uiPriority w:val="0"/>
    <w:pPr>
      <w:spacing w:before="160" w:after="300"/>
      <w:jc w:val="center"/>
      <w:outlineLvl w:val="1"/>
    </w:pPr>
    <w:rPr>
      <w:rFonts w:ascii="宋体" w:hAnsi="宋体" w:eastAsia="宋体" w:cs="宋体"/>
      <w:color w:val="auto"/>
      <w:kern w:val="2"/>
      <w:sz w:val="40"/>
      <w:szCs w:val="4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2024-01-08T02:52:00Z</dcterms:created>
  <dc:creator>Administrator</dc:creator>
  <cp:lastModifiedBy>DELL</cp:lastModifiedBy>
  <cp:lastPrinted>2024-01-11T02:39:00Z</cp:lastPrinted>
  <dcterms:modified xsi:type="dcterms:W3CDTF">2025-01-27T03:22:24Z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C5A2A917B7894A04834F93E6D2A6D57B</vt:lpwstr>
  </property>
</Properties>
</file>