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381.18</w:t>
            </w:r>
          </w:p>
        </w:tc>
        <w:tc>
          <w:tcPr>
            <w:tcW w:w="4535" w:type="dxa"/>
            <w:vAlign w:val="center"/>
          </w:tcPr>
          <w:p>
            <w:pPr>
              <w:pStyle w:val="13"/>
            </w:pPr>
            <w:r>
              <w:t>一、一般公共服务支出</w:t>
            </w:r>
          </w:p>
        </w:tc>
        <w:tc>
          <w:tcPr>
            <w:tcW w:w="2126" w:type="dxa"/>
            <w:vAlign w:val="center"/>
          </w:tcPr>
          <w:p>
            <w:pPr>
              <w:pStyle w:val="12"/>
            </w:pPr>
            <w:r>
              <w:t>354.13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12.87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381.18</w:t>
            </w:r>
          </w:p>
        </w:tc>
        <w:tc>
          <w:tcPr>
            <w:tcW w:w="4535" w:type="dxa"/>
            <w:vAlign w:val="center"/>
          </w:tcPr>
          <w:p>
            <w:pPr>
              <w:pStyle w:val="15"/>
            </w:pPr>
            <w:r>
              <w:t>本年支出合计</w:t>
            </w:r>
          </w:p>
        </w:tc>
        <w:tc>
          <w:tcPr>
            <w:tcW w:w="2126" w:type="dxa"/>
            <w:vAlign w:val="center"/>
          </w:tcPr>
          <w:p>
            <w:pPr>
              <w:pStyle w:val="16"/>
            </w:pPr>
            <w:r>
              <w:t>381.18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381.18</w:t>
            </w:r>
          </w:p>
        </w:tc>
        <w:tc>
          <w:tcPr>
            <w:tcW w:w="4535" w:type="dxa"/>
            <w:vAlign w:val="center"/>
          </w:tcPr>
          <w:p>
            <w:pPr>
              <w:pStyle w:val="15"/>
            </w:pPr>
            <w:r>
              <w:t>支出总计</w:t>
            </w:r>
          </w:p>
        </w:tc>
        <w:tc>
          <w:tcPr>
            <w:tcW w:w="2126" w:type="dxa"/>
            <w:vAlign w:val="center"/>
          </w:tcPr>
          <w:p>
            <w:pPr>
              <w:pStyle w:val="16"/>
            </w:pPr>
            <w:r>
              <w:t>381.18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381.18</w:t>
            </w:r>
          </w:p>
        </w:tc>
        <w:tc>
          <w:tcPr>
            <w:tcW w:w="1134" w:type="dxa"/>
            <w:vAlign w:val="center"/>
          </w:tcPr>
          <w:p>
            <w:pPr>
              <w:pStyle w:val="16"/>
            </w:pPr>
            <w:r>
              <w:t>381.18</w:t>
            </w:r>
          </w:p>
        </w:tc>
        <w:tc>
          <w:tcPr>
            <w:tcW w:w="1134" w:type="dxa"/>
            <w:vAlign w:val="center"/>
          </w:tcPr>
          <w:p>
            <w:pPr>
              <w:pStyle w:val="16"/>
            </w:pPr>
            <w:r>
              <w:t>381.18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354.13</w:t>
            </w:r>
          </w:p>
        </w:tc>
        <w:tc>
          <w:tcPr>
            <w:tcW w:w="1134" w:type="dxa"/>
            <w:vAlign w:val="center"/>
          </w:tcPr>
          <w:p>
            <w:pPr>
              <w:pStyle w:val="12"/>
            </w:pPr>
            <w:r>
              <w:t>354.13</w:t>
            </w:r>
          </w:p>
        </w:tc>
        <w:tc>
          <w:tcPr>
            <w:tcW w:w="1134" w:type="dxa"/>
            <w:vAlign w:val="center"/>
          </w:tcPr>
          <w:p>
            <w:pPr>
              <w:pStyle w:val="12"/>
            </w:pPr>
            <w:r>
              <w:t>354.13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20106</w:t>
            </w:r>
          </w:p>
        </w:tc>
        <w:tc>
          <w:tcPr>
            <w:tcW w:w="1559" w:type="dxa"/>
            <w:vAlign w:val="center"/>
          </w:tcPr>
          <w:p>
            <w:pPr>
              <w:pStyle w:val="13"/>
            </w:pPr>
            <w:r>
              <w:t>财政事务</w:t>
            </w:r>
          </w:p>
        </w:tc>
        <w:tc>
          <w:tcPr>
            <w:tcW w:w="1134" w:type="dxa"/>
            <w:vAlign w:val="center"/>
          </w:tcPr>
          <w:p>
            <w:pPr>
              <w:pStyle w:val="12"/>
            </w:pPr>
            <w:r>
              <w:t>286.40</w:t>
            </w:r>
          </w:p>
        </w:tc>
        <w:tc>
          <w:tcPr>
            <w:tcW w:w="1134" w:type="dxa"/>
            <w:vAlign w:val="center"/>
          </w:tcPr>
          <w:p>
            <w:pPr>
              <w:pStyle w:val="12"/>
            </w:pPr>
            <w:r>
              <w:t>286.40</w:t>
            </w:r>
          </w:p>
        </w:tc>
        <w:tc>
          <w:tcPr>
            <w:tcW w:w="1134" w:type="dxa"/>
            <w:vAlign w:val="center"/>
          </w:tcPr>
          <w:p>
            <w:pPr>
              <w:pStyle w:val="12"/>
            </w:pPr>
            <w:r>
              <w:t>286.40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2010608</w:t>
            </w:r>
          </w:p>
        </w:tc>
        <w:tc>
          <w:tcPr>
            <w:tcW w:w="1559" w:type="dxa"/>
            <w:vAlign w:val="center"/>
          </w:tcPr>
          <w:p>
            <w:pPr>
              <w:pStyle w:val="13"/>
            </w:pPr>
            <w:r>
              <w:t>财政委托业务支出</w:t>
            </w:r>
          </w:p>
        </w:tc>
        <w:tc>
          <w:tcPr>
            <w:tcW w:w="1134" w:type="dxa"/>
            <w:vAlign w:val="center"/>
          </w:tcPr>
          <w:p>
            <w:pPr>
              <w:pStyle w:val="12"/>
            </w:pPr>
            <w:r>
              <w:t>286.40</w:t>
            </w:r>
          </w:p>
        </w:tc>
        <w:tc>
          <w:tcPr>
            <w:tcW w:w="1134" w:type="dxa"/>
            <w:vAlign w:val="center"/>
          </w:tcPr>
          <w:p>
            <w:pPr>
              <w:pStyle w:val="12"/>
            </w:pPr>
            <w:r>
              <w:t>286.40</w:t>
            </w:r>
          </w:p>
        </w:tc>
        <w:tc>
          <w:tcPr>
            <w:tcW w:w="1134" w:type="dxa"/>
            <w:vAlign w:val="center"/>
          </w:tcPr>
          <w:p>
            <w:pPr>
              <w:pStyle w:val="12"/>
            </w:pPr>
            <w:r>
              <w:t>286.40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20108</w:t>
            </w:r>
          </w:p>
        </w:tc>
        <w:tc>
          <w:tcPr>
            <w:tcW w:w="1559" w:type="dxa"/>
            <w:vAlign w:val="center"/>
          </w:tcPr>
          <w:p>
            <w:pPr>
              <w:pStyle w:val="13"/>
            </w:pPr>
            <w:r>
              <w:t>审计事务</w:t>
            </w:r>
          </w:p>
        </w:tc>
        <w:tc>
          <w:tcPr>
            <w:tcW w:w="1134" w:type="dxa"/>
            <w:vAlign w:val="center"/>
          </w:tcPr>
          <w:p>
            <w:pPr>
              <w:pStyle w:val="12"/>
            </w:pPr>
            <w:r>
              <w:t>67.73</w:t>
            </w:r>
          </w:p>
        </w:tc>
        <w:tc>
          <w:tcPr>
            <w:tcW w:w="1134" w:type="dxa"/>
            <w:vAlign w:val="center"/>
          </w:tcPr>
          <w:p>
            <w:pPr>
              <w:pStyle w:val="12"/>
            </w:pPr>
            <w:r>
              <w:t>67.73</w:t>
            </w:r>
          </w:p>
        </w:tc>
        <w:tc>
          <w:tcPr>
            <w:tcW w:w="1134" w:type="dxa"/>
            <w:vAlign w:val="center"/>
          </w:tcPr>
          <w:p>
            <w:pPr>
              <w:pStyle w:val="12"/>
            </w:pPr>
            <w:r>
              <w:t>67.73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2010850</w:t>
            </w:r>
          </w:p>
        </w:tc>
        <w:tc>
          <w:tcPr>
            <w:tcW w:w="1559" w:type="dxa"/>
            <w:vAlign w:val="center"/>
          </w:tcPr>
          <w:p>
            <w:pPr>
              <w:pStyle w:val="13"/>
            </w:pPr>
            <w:r>
              <w:t>事业运行</w:t>
            </w:r>
          </w:p>
        </w:tc>
        <w:tc>
          <w:tcPr>
            <w:tcW w:w="1134" w:type="dxa"/>
            <w:vAlign w:val="center"/>
          </w:tcPr>
          <w:p>
            <w:pPr>
              <w:pStyle w:val="12"/>
            </w:pPr>
            <w:r>
              <w:t>67.73</w:t>
            </w:r>
          </w:p>
        </w:tc>
        <w:tc>
          <w:tcPr>
            <w:tcW w:w="1134" w:type="dxa"/>
            <w:vAlign w:val="center"/>
          </w:tcPr>
          <w:p>
            <w:pPr>
              <w:pStyle w:val="12"/>
            </w:pPr>
            <w:r>
              <w:t>67.73</w:t>
            </w:r>
          </w:p>
        </w:tc>
        <w:tc>
          <w:tcPr>
            <w:tcW w:w="1134" w:type="dxa"/>
            <w:vAlign w:val="center"/>
          </w:tcPr>
          <w:p>
            <w:pPr>
              <w:pStyle w:val="12"/>
            </w:pPr>
            <w:r>
              <w:t>67.73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12.87</w:t>
            </w:r>
          </w:p>
        </w:tc>
        <w:tc>
          <w:tcPr>
            <w:tcW w:w="1134" w:type="dxa"/>
            <w:vAlign w:val="center"/>
          </w:tcPr>
          <w:p>
            <w:pPr>
              <w:pStyle w:val="12"/>
            </w:pPr>
            <w:r>
              <w:t>12.87</w:t>
            </w:r>
          </w:p>
        </w:tc>
        <w:tc>
          <w:tcPr>
            <w:tcW w:w="1134" w:type="dxa"/>
            <w:vAlign w:val="center"/>
          </w:tcPr>
          <w:p>
            <w:pPr>
              <w:pStyle w:val="12"/>
            </w:pPr>
            <w:r>
              <w:t>12.87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12.87</w:t>
            </w:r>
          </w:p>
        </w:tc>
        <w:tc>
          <w:tcPr>
            <w:tcW w:w="1134" w:type="dxa"/>
            <w:vAlign w:val="center"/>
          </w:tcPr>
          <w:p>
            <w:pPr>
              <w:pStyle w:val="12"/>
            </w:pPr>
            <w:r>
              <w:t>12.87</w:t>
            </w:r>
          </w:p>
        </w:tc>
        <w:tc>
          <w:tcPr>
            <w:tcW w:w="1134" w:type="dxa"/>
            <w:vAlign w:val="center"/>
          </w:tcPr>
          <w:p>
            <w:pPr>
              <w:pStyle w:val="12"/>
            </w:pPr>
            <w:r>
              <w:t>12.87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4.39</w:t>
            </w:r>
          </w:p>
        </w:tc>
        <w:tc>
          <w:tcPr>
            <w:tcW w:w="1134" w:type="dxa"/>
            <w:vAlign w:val="center"/>
          </w:tcPr>
          <w:p>
            <w:pPr>
              <w:pStyle w:val="12"/>
            </w:pPr>
            <w:r>
              <w:t>4.39</w:t>
            </w:r>
          </w:p>
        </w:tc>
        <w:tc>
          <w:tcPr>
            <w:tcW w:w="1134" w:type="dxa"/>
            <w:vAlign w:val="center"/>
          </w:tcPr>
          <w:p>
            <w:pPr>
              <w:pStyle w:val="12"/>
            </w:pPr>
            <w:r>
              <w:t>4.39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8.48</w:t>
            </w:r>
          </w:p>
        </w:tc>
        <w:tc>
          <w:tcPr>
            <w:tcW w:w="1134" w:type="dxa"/>
            <w:vAlign w:val="center"/>
          </w:tcPr>
          <w:p>
            <w:pPr>
              <w:pStyle w:val="12"/>
            </w:pPr>
            <w:r>
              <w:t>8.48</w:t>
            </w:r>
          </w:p>
        </w:tc>
        <w:tc>
          <w:tcPr>
            <w:tcW w:w="1134" w:type="dxa"/>
            <w:vAlign w:val="center"/>
          </w:tcPr>
          <w:p>
            <w:pPr>
              <w:pStyle w:val="12"/>
            </w:pPr>
            <w:r>
              <w:t>8.48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7.52</w:t>
            </w:r>
          </w:p>
        </w:tc>
        <w:tc>
          <w:tcPr>
            <w:tcW w:w="1134" w:type="dxa"/>
            <w:vAlign w:val="center"/>
          </w:tcPr>
          <w:p>
            <w:pPr>
              <w:pStyle w:val="12"/>
            </w:pPr>
            <w:r>
              <w:t>7.52</w:t>
            </w:r>
          </w:p>
        </w:tc>
        <w:tc>
          <w:tcPr>
            <w:tcW w:w="1134" w:type="dxa"/>
            <w:vAlign w:val="center"/>
          </w:tcPr>
          <w:p>
            <w:pPr>
              <w:pStyle w:val="12"/>
            </w:pPr>
            <w:r>
              <w:t>7.52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7.52</w:t>
            </w:r>
          </w:p>
        </w:tc>
        <w:tc>
          <w:tcPr>
            <w:tcW w:w="1134" w:type="dxa"/>
            <w:vAlign w:val="center"/>
          </w:tcPr>
          <w:p>
            <w:pPr>
              <w:pStyle w:val="12"/>
            </w:pPr>
            <w:r>
              <w:t>7.52</w:t>
            </w:r>
          </w:p>
        </w:tc>
        <w:tc>
          <w:tcPr>
            <w:tcW w:w="1134" w:type="dxa"/>
            <w:vAlign w:val="center"/>
          </w:tcPr>
          <w:p>
            <w:pPr>
              <w:pStyle w:val="12"/>
            </w:pPr>
            <w:r>
              <w:t>7.52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r>
              <w:t>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6.66</w:t>
            </w:r>
          </w:p>
        </w:tc>
        <w:tc>
          <w:tcPr>
            <w:tcW w:w="1134" w:type="dxa"/>
            <w:vAlign w:val="center"/>
          </w:tcPr>
          <w:p>
            <w:pPr>
              <w:pStyle w:val="12"/>
            </w:pPr>
            <w:r>
              <w:t>6.66</w:t>
            </w:r>
          </w:p>
        </w:tc>
        <w:tc>
          <w:tcPr>
            <w:tcW w:w="1134" w:type="dxa"/>
            <w:vAlign w:val="center"/>
          </w:tcPr>
          <w:p>
            <w:pPr>
              <w:pStyle w:val="12"/>
            </w:pPr>
            <w:r>
              <w:t>6.66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6.66</w:t>
            </w:r>
          </w:p>
        </w:tc>
        <w:tc>
          <w:tcPr>
            <w:tcW w:w="1134" w:type="dxa"/>
            <w:vAlign w:val="center"/>
          </w:tcPr>
          <w:p>
            <w:pPr>
              <w:pStyle w:val="12"/>
            </w:pPr>
            <w:r>
              <w:t>6.66</w:t>
            </w:r>
          </w:p>
        </w:tc>
        <w:tc>
          <w:tcPr>
            <w:tcW w:w="1134" w:type="dxa"/>
            <w:vAlign w:val="center"/>
          </w:tcPr>
          <w:p>
            <w:pPr>
              <w:pStyle w:val="12"/>
            </w:pPr>
            <w:r>
              <w:t>6.66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6.66</w:t>
            </w:r>
          </w:p>
        </w:tc>
        <w:tc>
          <w:tcPr>
            <w:tcW w:w="1134" w:type="dxa"/>
            <w:vAlign w:val="center"/>
          </w:tcPr>
          <w:p>
            <w:pPr>
              <w:pStyle w:val="12"/>
            </w:pPr>
            <w:r>
              <w:t>6.66</w:t>
            </w:r>
          </w:p>
        </w:tc>
        <w:tc>
          <w:tcPr>
            <w:tcW w:w="1134" w:type="dxa"/>
            <w:vAlign w:val="center"/>
          </w:tcPr>
          <w:p>
            <w:pPr>
              <w:pStyle w:val="12"/>
            </w:pPr>
            <w:r>
              <w:t>6.66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381.18</w:t>
            </w:r>
          </w:p>
        </w:tc>
        <w:tc>
          <w:tcPr>
            <w:tcW w:w="1361" w:type="dxa"/>
            <w:vAlign w:val="center"/>
          </w:tcPr>
          <w:p>
            <w:pPr>
              <w:pStyle w:val="16"/>
            </w:pPr>
            <w:r>
              <w:t>92.78</w:t>
            </w:r>
          </w:p>
        </w:tc>
        <w:tc>
          <w:tcPr>
            <w:tcW w:w="1361" w:type="dxa"/>
            <w:vAlign w:val="center"/>
          </w:tcPr>
          <w:p>
            <w:pPr>
              <w:pStyle w:val="16"/>
            </w:pPr>
            <w:r>
              <w:t>288.40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354.13</w:t>
            </w:r>
          </w:p>
        </w:tc>
        <w:tc>
          <w:tcPr>
            <w:tcW w:w="1361" w:type="dxa"/>
            <w:vAlign w:val="center"/>
          </w:tcPr>
          <w:p>
            <w:pPr>
              <w:pStyle w:val="12"/>
            </w:pPr>
            <w:r>
              <w:t>65.73</w:t>
            </w:r>
          </w:p>
        </w:tc>
        <w:tc>
          <w:tcPr>
            <w:tcW w:w="1361" w:type="dxa"/>
            <w:vAlign w:val="center"/>
          </w:tcPr>
          <w:p>
            <w:pPr>
              <w:pStyle w:val="12"/>
            </w:pPr>
            <w:r>
              <w:t>288.40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20106</w:t>
            </w:r>
          </w:p>
        </w:tc>
        <w:tc>
          <w:tcPr>
            <w:tcW w:w="4535" w:type="dxa"/>
            <w:vAlign w:val="center"/>
          </w:tcPr>
          <w:p>
            <w:pPr>
              <w:pStyle w:val="13"/>
            </w:pPr>
            <w:r>
              <w:t>财政事务</w:t>
            </w:r>
          </w:p>
        </w:tc>
        <w:tc>
          <w:tcPr>
            <w:tcW w:w="1361" w:type="dxa"/>
            <w:vAlign w:val="center"/>
          </w:tcPr>
          <w:p>
            <w:pPr>
              <w:pStyle w:val="12"/>
            </w:pPr>
            <w:r>
              <w:t>286.40</w:t>
            </w:r>
          </w:p>
        </w:tc>
        <w:tc>
          <w:tcPr>
            <w:tcW w:w="1361" w:type="dxa"/>
            <w:vAlign w:val="center"/>
          </w:tcPr>
          <w:p>
            <w:pPr>
              <w:pStyle w:val="12"/>
            </w:pPr>
          </w:p>
        </w:tc>
        <w:tc>
          <w:tcPr>
            <w:tcW w:w="1361" w:type="dxa"/>
            <w:vAlign w:val="center"/>
          </w:tcPr>
          <w:p>
            <w:pPr>
              <w:pStyle w:val="12"/>
            </w:pPr>
            <w:r>
              <w:t>286.40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2010608</w:t>
            </w:r>
          </w:p>
        </w:tc>
        <w:tc>
          <w:tcPr>
            <w:tcW w:w="4535" w:type="dxa"/>
            <w:vAlign w:val="center"/>
          </w:tcPr>
          <w:p>
            <w:pPr>
              <w:pStyle w:val="13"/>
            </w:pPr>
            <w:r>
              <w:t>财政委托业务支出</w:t>
            </w:r>
          </w:p>
        </w:tc>
        <w:tc>
          <w:tcPr>
            <w:tcW w:w="1361" w:type="dxa"/>
            <w:vAlign w:val="center"/>
          </w:tcPr>
          <w:p>
            <w:pPr>
              <w:pStyle w:val="12"/>
            </w:pPr>
            <w:r>
              <w:t>286.40</w:t>
            </w:r>
          </w:p>
        </w:tc>
        <w:tc>
          <w:tcPr>
            <w:tcW w:w="1361" w:type="dxa"/>
            <w:vAlign w:val="center"/>
          </w:tcPr>
          <w:p>
            <w:pPr>
              <w:pStyle w:val="12"/>
            </w:pPr>
          </w:p>
        </w:tc>
        <w:tc>
          <w:tcPr>
            <w:tcW w:w="1361" w:type="dxa"/>
            <w:vAlign w:val="center"/>
          </w:tcPr>
          <w:p>
            <w:pPr>
              <w:pStyle w:val="12"/>
            </w:pPr>
            <w:r>
              <w:t>286.40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20108</w:t>
            </w:r>
          </w:p>
        </w:tc>
        <w:tc>
          <w:tcPr>
            <w:tcW w:w="4535" w:type="dxa"/>
            <w:vAlign w:val="center"/>
          </w:tcPr>
          <w:p>
            <w:pPr>
              <w:pStyle w:val="13"/>
            </w:pPr>
            <w:r>
              <w:t>审计事务</w:t>
            </w:r>
          </w:p>
        </w:tc>
        <w:tc>
          <w:tcPr>
            <w:tcW w:w="1361" w:type="dxa"/>
            <w:vAlign w:val="center"/>
          </w:tcPr>
          <w:p>
            <w:pPr>
              <w:pStyle w:val="12"/>
            </w:pPr>
            <w:r>
              <w:t>67.73</w:t>
            </w:r>
          </w:p>
        </w:tc>
        <w:tc>
          <w:tcPr>
            <w:tcW w:w="1361" w:type="dxa"/>
            <w:vAlign w:val="center"/>
          </w:tcPr>
          <w:p>
            <w:pPr>
              <w:pStyle w:val="12"/>
            </w:pPr>
            <w:r>
              <w:t>65.73</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2010850</w:t>
            </w:r>
          </w:p>
        </w:tc>
        <w:tc>
          <w:tcPr>
            <w:tcW w:w="4535" w:type="dxa"/>
            <w:vAlign w:val="center"/>
          </w:tcPr>
          <w:p>
            <w:pPr>
              <w:pStyle w:val="13"/>
            </w:pPr>
            <w:r>
              <w:t>事业运行</w:t>
            </w:r>
          </w:p>
        </w:tc>
        <w:tc>
          <w:tcPr>
            <w:tcW w:w="1361" w:type="dxa"/>
            <w:vAlign w:val="center"/>
          </w:tcPr>
          <w:p>
            <w:pPr>
              <w:pStyle w:val="12"/>
            </w:pPr>
            <w:r>
              <w:t>67.73</w:t>
            </w:r>
          </w:p>
        </w:tc>
        <w:tc>
          <w:tcPr>
            <w:tcW w:w="1361" w:type="dxa"/>
            <w:vAlign w:val="center"/>
          </w:tcPr>
          <w:p>
            <w:pPr>
              <w:pStyle w:val="12"/>
            </w:pPr>
            <w:r>
              <w:t>65.73</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12.87</w:t>
            </w:r>
          </w:p>
        </w:tc>
        <w:tc>
          <w:tcPr>
            <w:tcW w:w="1361" w:type="dxa"/>
            <w:vAlign w:val="center"/>
          </w:tcPr>
          <w:p>
            <w:pPr>
              <w:pStyle w:val="12"/>
            </w:pPr>
            <w:r>
              <w:t>12.87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12.87</w:t>
            </w:r>
          </w:p>
        </w:tc>
        <w:tc>
          <w:tcPr>
            <w:tcW w:w="1361" w:type="dxa"/>
            <w:vAlign w:val="center"/>
          </w:tcPr>
          <w:p>
            <w:pPr>
              <w:pStyle w:val="12"/>
            </w:pPr>
            <w:r>
              <w:t>12.87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4.39</w:t>
            </w:r>
          </w:p>
        </w:tc>
        <w:tc>
          <w:tcPr>
            <w:tcW w:w="1361" w:type="dxa"/>
            <w:vAlign w:val="center"/>
          </w:tcPr>
          <w:p>
            <w:pPr>
              <w:pStyle w:val="12"/>
            </w:pPr>
            <w:r>
              <w:t>4.39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8.48</w:t>
            </w:r>
          </w:p>
        </w:tc>
        <w:tc>
          <w:tcPr>
            <w:tcW w:w="1361" w:type="dxa"/>
            <w:vAlign w:val="center"/>
          </w:tcPr>
          <w:p>
            <w:pPr>
              <w:pStyle w:val="12"/>
            </w:pPr>
            <w:r>
              <w:t>8.48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7.52</w:t>
            </w:r>
          </w:p>
        </w:tc>
        <w:tc>
          <w:tcPr>
            <w:tcW w:w="1361" w:type="dxa"/>
            <w:vAlign w:val="center"/>
          </w:tcPr>
          <w:p>
            <w:pPr>
              <w:pStyle w:val="12"/>
            </w:pPr>
            <w:r>
              <w:t>7.52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7.52</w:t>
            </w:r>
          </w:p>
        </w:tc>
        <w:tc>
          <w:tcPr>
            <w:tcW w:w="1361" w:type="dxa"/>
            <w:vAlign w:val="center"/>
          </w:tcPr>
          <w:p>
            <w:pPr>
              <w:pStyle w:val="12"/>
            </w:pPr>
            <w:r>
              <w:t>7.52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3.20</w:t>
            </w:r>
          </w:p>
        </w:tc>
        <w:tc>
          <w:tcPr>
            <w:tcW w:w="1361" w:type="dxa"/>
            <w:vAlign w:val="center"/>
          </w:tcPr>
          <w:p>
            <w:pPr>
              <w:pStyle w:val="12"/>
            </w:pPr>
            <w:r>
              <w:t>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4.32</w:t>
            </w:r>
          </w:p>
        </w:tc>
        <w:tc>
          <w:tcPr>
            <w:tcW w:w="1361" w:type="dxa"/>
            <w:vAlign w:val="center"/>
          </w:tcPr>
          <w:p>
            <w:pPr>
              <w:pStyle w:val="12"/>
            </w:pPr>
            <w:r>
              <w:t>4.32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6.66</w:t>
            </w:r>
          </w:p>
        </w:tc>
        <w:tc>
          <w:tcPr>
            <w:tcW w:w="1361" w:type="dxa"/>
            <w:vAlign w:val="center"/>
          </w:tcPr>
          <w:p>
            <w:pPr>
              <w:pStyle w:val="12"/>
            </w:pPr>
            <w:r>
              <w:t>6.66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6.66</w:t>
            </w:r>
          </w:p>
        </w:tc>
        <w:tc>
          <w:tcPr>
            <w:tcW w:w="1361" w:type="dxa"/>
            <w:vAlign w:val="center"/>
          </w:tcPr>
          <w:p>
            <w:pPr>
              <w:pStyle w:val="12"/>
            </w:pPr>
            <w:r>
              <w:t>6.66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6.66</w:t>
            </w:r>
          </w:p>
        </w:tc>
        <w:tc>
          <w:tcPr>
            <w:tcW w:w="1361" w:type="dxa"/>
            <w:vAlign w:val="center"/>
          </w:tcPr>
          <w:p>
            <w:pPr>
              <w:pStyle w:val="12"/>
            </w:pPr>
            <w:r>
              <w:t>6.66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381.18</w:t>
            </w:r>
          </w:p>
        </w:tc>
        <w:tc>
          <w:tcPr>
            <w:tcW w:w="3402" w:type="dxa"/>
            <w:vAlign w:val="center"/>
          </w:tcPr>
          <w:p>
            <w:pPr>
              <w:pStyle w:val="13"/>
            </w:pPr>
            <w:r>
              <w:t>一、一般公共服务支出</w:t>
            </w:r>
          </w:p>
        </w:tc>
        <w:tc>
          <w:tcPr>
            <w:tcW w:w="1474" w:type="dxa"/>
            <w:vAlign w:val="center"/>
          </w:tcPr>
          <w:p>
            <w:pPr>
              <w:pStyle w:val="12"/>
            </w:pPr>
            <w:r>
              <w:t>354.13</w:t>
            </w:r>
          </w:p>
        </w:tc>
        <w:tc>
          <w:tcPr>
            <w:tcW w:w="1474" w:type="dxa"/>
            <w:vAlign w:val="center"/>
          </w:tcPr>
          <w:p>
            <w:pPr>
              <w:pStyle w:val="12"/>
            </w:pPr>
            <w:r>
              <w:t>354.13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12.87</w:t>
            </w:r>
          </w:p>
        </w:tc>
        <w:tc>
          <w:tcPr>
            <w:tcW w:w="1474" w:type="dxa"/>
            <w:vAlign w:val="center"/>
          </w:tcPr>
          <w:p>
            <w:pPr>
              <w:pStyle w:val="12"/>
            </w:pPr>
            <w:r>
              <w:t>12.87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7.52</w:t>
            </w:r>
          </w:p>
        </w:tc>
        <w:tc>
          <w:tcPr>
            <w:tcW w:w="1474" w:type="dxa"/>
            <w:vAlign w:val="center"/>
          </w:tcPr>
          <w:p>
            <w:pPr>
              <w:pStyle w:val="12"/>
            </w:pPr>
            <w:r>
              <w:t>7.52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6.66</w:t>
            </w:r>
          </w:p>
        </w:tc>
        <w:tc>
          <w:tcPr>
            <w:tcW w:w="1474" w:type="dxa"/>
            <w:vAlign w:val="center"/>
          </w:tcPr>
          <w:p>
            <w:pPr>
              <w:pStyle w:val="12"/>
            </w:pPr>
            <w:r>
              <w:t>6.66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381.18</w:t>
            </w:r>
          </w:p>
        </w:tc>
        <w:tc>
          <w:tcPr>
            <w:tcW w:w="3402" w:type="dxa"/>
            <w:vAlign w:val="center"/>
          </w:tcPr>
          <w:p>
            <w:pPr>
              <w:pStyle w:val="15"/>
            </w:pPr>
            <w:r>
              <w:t>本年支出合计</w:t>
            </w:r>
          </w:p>
        </w:tc>
        <w:tc>
          <w:tcPr>
            <w:tcW w:w="1474" w:type="dxa"/>
            <w:vAlign w:val="center"/>
          </w:tcPr>
          <w:p>
            <w:pPr>
              <w:pStyle w:val="16"/>
            </w:pPr>
            <w:r>
              <w:t>381.18</w:t>
            </w:r>
          </w:p>
        </w:tc>
        <w:tc>
          <w:tcPr>
            <w:tcW w:w="1474" w:type="dxa"/>
            <w:vAlign w:val="center"/>
          </w:tcPr>
          <w:p>
            <w:pPr>
              <w:pStyle w:val="16"/>
            </w:pPr>
            <w:r>
              <w:t>381.18</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381.18</w:t>
            </w:r>
          </w:p>
        </w:tc>
        <w:tc>
          <w:tcPr>
            <w:tcW w:w="3402" w:type="dxa"/>
            <w:vAlign w:val="center"/>
          </w:tcPr>
          <w:p>
            <w:pPr>
              <w:pStyle w:val="15"/>
            </w:pPr>
            <w:r>
              <w:t>支出总计</w:t>
            </w:r>
          </w:p>
        </w:tc>
        <w:tc>
          <w:tcPr>
            <w:tcW w:w="1474" w:type="dxa"/>
            <w:vAlign w:val="center"/>
          </w:tcPr>
          <w:p>
            <w:pPr>
              <w:pStyle w:val="16"/>
            </w:pPr>
            <w:r>
              <w:t>381.18</w:t>
            </w:r>
          </w:p>
        </w:tc>
        <w:tc>
          <w:tcPr>
            <w:tcW w:w="1474" w:type="dxa"/>
            <w:vAlign w:val="center"/>
          </w:tcPr>
          <w:p>
            <w:pPr>
              <w:pStyle w:val="16"/>
            </w:pPr>
            <w:r>
              <w:t>381.18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381.18</w:t>
            </w:r>
          </w:p>
        </w:tc>
        <w:tc>
          <w:tcPr>
            <w:tcW w:w="2551" w:type="dxa"/>
            <w:vAlign w:val="center"/>
          </w:tcPr>
          <w:p>
            <w:pPr>
              <w:pStyle w:val="16"/>
            </w:pPr>
            <w:r>
              <w:t>92.78</w:t>
            </w:r>
          </w:p>
        </w:tc>
        <w:tc>
          <w:tcPr>
            <w:tcW w:w="2551" w:type="dxa"/>
            <w:vAlign w:val="center"/>
          </w:tcPr>
          <w:p>
            <w:pPr>
              <w:pStyle w:val="16"/>
            </w:pPr>
            <w:r>
              <w:t>288.40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354.13</w:t>
            </w:r>
          </w:p>
        </w:tc>
        <w:tc>
          <w:tcPr>
            <w:tcW w:w="2551" w:type="dxa"/>
            <w:vAlign w:val="center"/>
          </w:tcPr>
          <w:p>
            <w:pPr>
              <w:pStyle w:val="12"/>
            </w:pPr>
            <w:r>
              <w:t>65.73</w:t>
            </w:r>
          </w:p>
        </w:tc>
        <w:tc>
          <w:tcPr>
            <w:tcW w:w="2551" w:type="dxa"/>
            <w:vAlign w:val="center"/>
          </w:tcPr>
          <w:p>
            <w:pPr>
              <w:pStyle w:val="12"/>
            </w:pPr>
            <w:r>
              <w:t>288.40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20106</w:t>
            </w:r>
          </w:p>
        </w:tc>
        <w:tc>
          <w:tcPr>
            <w:tcW w:w="4535" w:type="dxa"/>
            <w:vAlign w:val="center"/>
          </w:tcPr>
          <w:p>
            <w:pPr>
              <w:pStyle w:val="13"/>
            </w:pPr>
            <w:r>
              <w:t>财政事务</w:t>
            </w:r>
          </w:p>
        </w:tc>
        <w:tc>
          <w:tcPr>
            <w:tcW w:w="2551" w:type="dxa"/>
            <w:vAlign w:val="center"/>
          </w:tcPr>
          <w:p>
            <w:pPr>
              <w:pStyle w:val="12"/>
            </w:pPr>
            <w:r>
              <w:t>286.40</w:t>
            </w:r>
          </w:p>
        </w:tc>
        <w:tc>
          <w:tcPr>
            <w:tcW w:w="2551" w:type="dxa"/>
            <w:vAlign w:val="center"/>
          </w:tcPr>
          <w:p>
            <w:pPr>
              <w:pStyle w:val="12"/>
            </w:pPr>
          </w:p>
        </w:tc>
        <w:tc>
          <w:tcPr>
            <w:tcW w:w="2551" w:type="dxa"/>
            <w:vAlign w:val="center"/>
          </w:tcPr>
          <w:p>
            <w:pPr>
              <w:pStyle w:val="12"/>
            </w:pPr>
            <w:r>
              <w:t>286.40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2010608</w:t>
            </w:r>
          </w:p>
        </w:tc>
        <w:tc>
          <w:tcPr>
            <w:tcW w:w="4535" w:type="dxa"/>
            <w:vAlign w:val="center"/>
          </w:tcPr>
          <w:p>
            <w:pPr>
              <w:pStyle w:val="13"/>
            </w:pPr>
            <w:r>
              <w:t>财政委托业务支出</w:t>
            </w:r>
          </w:p>
        </w:tc>
        <w:tc>
          <w:tcPr>
            <w:tcW w:w="2551" w:type="dxa"/>
            <w:vAlign w:val="center"/>
          </w:tcPr>
          <w:p>
            <w:pPr>
              <w:pStyle w:val="12"/>
            </w:pPr>
            <w:r>
              <w:t>286.40</w:t>
            </w:r>
          </w:p>
        </w:tc>
        <w:tc>
          <w:tcPr>
            <w:tcW w:w="2551" w:type="dxa"/>
            <w:vAlign w:val="center"/>
          </w:tcPr>
          <w:p>
            <w:pPr>
              <w:pStyle w:val="12"/>
            </w:pPr>
          </w:p>
        </w:tc>
        <w:tc>
          <w:tcPr>
            <w:tcW w:w="2551" w:type="dxa"/>
            <w:vAlign w:val="center"/>
          </w:tcPr>
          <w:p>
            <w:pPr>
              <w:pStyle w:val="12"/>
            </w:pPr>
            <w:r>
              <w:t>286.40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20108</w:t>
            </w:r>
          </w:p>
        </w:tc>
        <w:tc>
          <w:tcPr>
            <w:tcW w:w="4535" w:type="dxa"/>
            <w:vAlign w:val="center"/>
          </w:tcPr>
          <w:p>
            <w:pPr>
              <w:pStyle w:val="13"/>
            </w:pPr>
            <w:r>
              <w:t>审计事务</w:t>
            </w:r>
          </w:p>
        </w:tc>
        <w:tc>
          <w:tcPr>
            <w:tcW w:w="2551" w:type="dxa"/>
            <w:vAlign w:val="center"/>
          </w:tcPr>
          <w:p>
            <w:pPr>
              <w:pStyle w:val="12"/>
            </w:pPr>
            <w:r>
              <w:t>67.73</w:t>
            </w:r>
          </w:p>
        </w:tc>
        <w:tc>
          <w:tcPr>
            <w:tcW w:w="2551" w:type="dxa"/>
            <w:vAlign w:val="center"/>
          </w:tcPr>
          <w:p>
            <w:pPr>
              <w:pStyle w:val="12"/>
            </w:pPr>
            <w:r>
              <w:t>65.73</w:t>
            </w: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2010850</w:t>
            </w:r>
          </w:p>
        </w:tc>
        <w:tc>
          <w:tcPr>
            <w:tcW w:w="4535" w:type="dxa"/>
            <w:vAlign w:val="center"/>
          </w:tcPr>
          <w:p>
            <w:pPr>
              <w:pStyle w:val="13"/>
            </w:pPr>
            <w:r>
              <w:t>事业运行</w:t>
            </w:r>
          </w:p>
        </w:tc>
        <w:tc>
          <w:tcPr>
            <w:tcW w:w="2551" w:type="dxa"/>
            <w:vAlign w:val="center"/>
          </w:tcPr>
          <w:p>
            <w:pPr>
              <w:pStyle w:val="12"/>
            </w:pPr>
            <w:r>
              <w:t>67.73</w:t>
            </w:r>
          </w:p>
        </w:tc>
        <w:tc>
          <w:tcPr>
            <w:tcW w:w="2551" w:type="dxa"/>
            <w:vAlign w:val="center"/>
          </w:tcPr>
          <w:p>
            <w:pPr>
              <w:pStyle w:val="12"/>
            </w:pPr>
            <w:r>
              <w:t>65.73</w:t>
            </w: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12.87</w:t>
            </w:r>
          </w:p>
        </w:tc>
        <w:tc>
          <w:tcPr>
            <w:tcW w:w="2551" w:type="dxa"/>
            <w:vAlign w:val="center"/>
          </w:tcPr>
          <w:p>
            <w:pPr>
              <w:pStyle w:val="12"/>
            </w:pPr>
            <w:r>
              <w:t>12.87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12.87</w:t>
            </w:r>
          </w:p>
        </w:tc>
        <w:tc>
          <w:tcPr>
            <w:tcW w:w="2551" w:type="dxa"/>
            <w:vAlign w:val="center"/>
          </w:tcPr>
          <w:p>
            <w:pPr>
              <w:pStyle w:val="12"/>
            </w:pPr>
            <w:r>
              <w:t>12.87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4.39</w:t>
            </w:r>
          </w:p>
        </w:tc>
        <w:tc>
          <w:tcPr>
            <w:tcW w:w="2551" w:type="dxa"/>
            <w:vAlign w:val="center"/>
          </w:tcPr>
          <w:p>
            <w:pPr>
              <w:pStyle w:val="12"/>
            </w:pPr>
            <w:r>
              <w:t>4.39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8.48</w:t>
            </w:r>
          </w:p>
        </w:tc>
        <w:tc>
          <w:tcPr>
            <w:tcW w:w="2551" w:type="dxa"/>
            <w:vAlign w:val="center"/>
          </w:tcPr>
          <w:p>
            <w:pPr>
              <w:pStyle w:val="12"/>
            </w:pPr>
            <w:r>
              <w:t>8.48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7.52</w:t>
            </w:r>
          </w:p>
        </w:tc>
        <w:tc>
          <w:tcPr>
            <w:tcW w:w="2551" w:type="dxa"/>
            <w:vAlign w:val="center"/>
          </w:tcPr>
          <w:p>
            <w:pPr>
              <w:pStyle w:val="12"/>
            </w:pPr>
            <w:r>
              <w:t>7.52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7.52</w:t>
            </w:r>
          </w:p>
        </w:tc>
        <w:tc>
          <w:tcPr>
            <w:tcW w:w="2551" w:type="dxa"/>
            <w:vAlign w:val="center"/>
          </w:tcPr>
          <w:p>
            <w:pPr>
              <w:pStyle w:val="12"/>
            </w:pPr>
            <w:r>
              <w:t>7.52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4.32</w:t>
            </w:r>
          </w:p>
        </w:tc>
        <w:tc>
          <w:tcPr>
            <w:tcW w:w="2551" w:type="dxa"/>
            <w:vAlign w:val="center"/>
          </w:tcPr>
          <w:p>
            <w:pPr>
              <w:pStyle w:val="12"/>
            </w:pPr>
            <w:r>
              <w:t>4.32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6.66</w:t>
            </w:r>
          </w:p>
        </w:tc>
        <w:tc>
          <w:tcPr>
            <w:tcW w:w="2551" w:type="dxa"/>
            <w:vAlign w:val="center"/>
          </w:tcPr>
          <w:p>
            <w:pPr>
              <w:pStyle w:val="12"/>
            </w:pPr>
            <w:r>
              <w:t>6.66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6.66</w:t>
            </w:r>
          </w:p>
        </w:tc>
        <w:tc>
          <w:tcPr>
            <w:tcW w:w="2551" w:type="dxa"/>
            <w:vAlign w:val="center"/>
          </w:tcPr>
          <w:p>
            <w:pPr>
              <w:pStyle w:val="12"/>
            </w:pPr>
            <w:r>
              <w:t>6.66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6.66</w:t>
            </w:r>
          </w:p>
        </w:tc>
        <w:tc>
          <w:tcPr>
            <w:tcW w:w="2551" w:type="dxa"/>
            <w:vAlign w:val="center"/>
          </w:tcPr>
          <w:p>
            <w:pPr>
              <w:pStyle w:val="12"/>
            </w:pPr>
            <w:r>
              <w:t>6.66</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92.78</w:t>
            </w:r>
          </w:p>
        </w:tc>
        <w:tc>
          <w:tcPr>
            <w:tcW w:w="2551" w:type="dxa"/>
            <w:vAlign w:val="center"/>
          </w:tcPr>
          <w:p>
            <w:pPr>
              <w:pStyle w:val="16"/>
            </w:pPr>
            <w:r>
              <w:t>87.85</w:t>
            </w:r>
          </w:p>
        </w:tc>
        <w:tc>
          <w:tcPr>
            <w:tcW w:w="2551" w:type="dxa"/>
            <w:vAlign w:val="center"/>
          </w:tcPr>
          <w:p>
            <w:pPr>
              <w:pStyle w:val="16"/>
            </w:pPr>
            <w:r>
              <w:t>4.93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83.63</w:t>
            </w:r>
          </w:p>
        </w:tc>
        <w:tc>
          <w:tcPr>
            <w:tcW w:w="2551" w:type="dxa"/>
            <w:vAlign w:val="center"/>
          </w:tcPr>
          <w:p>
            <w:pPr>
              <w:pStyle w:val="12"/>
            </w:pPr>
            <w:r>
              <w:t>83.63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21.86</w:t>
            </w:r>
          </w:p>
        </w:tc>
        <w:tc>
          <w:tcPr>
            <w:tcW w:w="2551" w:type="dxa"/>
            <w:vAlign w:val="center"/>
          </w:tcPr>
          <w:p>
            <w:pPr>
              <w:pStyle w:val="12"/>
            </w:pPr>
            <w:r>
              <w:t>21.86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4.36</w:t>
            </w:r>
          </w:p>
        </w:tc>
        <w:tc>
          <w:tcPr>
            <w:tcW w:w="2551" w:type="dxa"/>
            <w:vAlign w:val="center"/>
          </w:tcPr>
          <w:p>
            <w:pPr>
              <w:pStyle w:val="12"/>
            </w:pPr>
            <w:r>
              <w:t>4.36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34.09</w:t>
            </w:r>
          </w:p>
        </w:tc>
        <w:tc>
          <w:tcPr>
            <w:tcW w:w="2551" w:type="dxa"/>
            <w:vAlign w:val="center"/>
          </w:tcPr>
          <w:p>
            <w:pPr>
              <w:pStyle w:val="12"/>
            </w:pPr>
            <w:r>
              <w:t>34.09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8.48</w:t>
            </w:r>
          </w:p>
        </w:tc>
        <w:tc>
          <w:tcPr>
            <w:tcW w:w="2551" w:type="dxa"/>
            <w:vAlign w:val="center"/>
          </w:tcPr>
          <w:p>
            <w:pPr>
              <w:pStyle w:val="12"/>
            </w:pPr>
            <w:r>
              <w:t>8.48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4.32</w:t>
            </w:r>
          </w:p>
        </w:tc>
        <w:tc>
          <w:tcPr>
            <w:tcW w:w="2551" w:type="dxa"/>
            <w:vAlign w:val="center"/>
          </w:tcPr>
          <w:p>
            <w:pPr>
              <w:pStyle w:val="12"/>
            </w:pPr>
            <w:r>
              <w:t>4.32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0.66</w:t>
            </w:r>
          </w:p>
        </w:tc>
        <w:tc>
          <w:tcPr>
            <w:tcW w:w="2551" w:type="dxa"/>
            <w:vAlign w:val="center"/>
          </w:tcPr>
          <w:p>
            <w:pPr>
              <w:pStyle w:val="12"/>
            </w:pPr>
            <w:r>
              <w:t>0.66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6.66</w:t>
            </w:r>
          </w:p>
        </w:tc>
        <w:tc>
          <w:tcPr>
            <w:tcW w:w="2551" w:type="dxa"/>
            <w:vAlign w:val="center"/>
          </w:tcPr>
          <w:p>
            <w:pPr>
              <w:pStyle w:val="12"/>
            </w:pPr>
            <w:r>
              <w:t>6.66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4.93</w:t>
            </w:r>
          </w:p>
        </w:tc>
        <w:tc>
          <w:tcPr>
            <w:tcW w:w="2551" w:type="dxa"/>
            <w:vAlign w:val="center"/>
          </w:tcPr>
          <w:p>
            <w:pPr>
              <w:pStyle w:val="12"/>
            </w:pPr>
          </w:p>
        </w:tc>
        <w:tc>
          <w:tcPr>
            <w:tcW w:w="2551" w:type="dxa"/>
            <w:vAlign w:val="center"/>
          </w:tcPr>
          <w:p>
            <w:pPr>
              <w:pStyle w:val="12"/>
            </w:pPr>
            <w:r>
              <w:t>4.93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0.15</w:t>
            </w:r>
          </w:p>
        </w:tc>
        <w:tc>
          <w:tcPr>
            <w:tcW w:w="2551" w:type="dxa"/>
            <w:vAlign w:val="center"/>
          </w:tcPr>
          <w:p>
            <w:pPr>
              <w:pStyle w:val="12"/>
            </w:pPr>
          </w:p>
        </w:tc>
        <w:tc>
          <w:tcPr>
            <w:tcW w:w="2551"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0.05</w:t>
            </w:r>
          </w:p>
        </w:tc>
        <w:tc>
          <w:tcPr>
            <w:tcW w:w="2551" w:type="dxa"/>
            <w:vAlign w:val="center"/>
          </w:tcPr>
          <w:p>
            <w:pPr>
              <w:pStyle w:val="12"/>
            </w:pPr>
          </w:p>
        </w:tc>
        <w:tc>
          <w:tcPr>
            <w:tcW w:w="2551" w:type="dxa"/>
            <w:vAlign w:val="center"/>
          </w:tcPr>
          <w:p>
            <w:pPr>
              <w:pStyle w:val="12"/>
            </w:pPr>
            <w: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0.08</w:t>
            </w:r>
          </w:p>
        </w:tc>
        <w:tc>
          <w:tcPr>
            <w:tcW w:w="2551" w:type="dxa"/>
            <w:vAlign w:val="center"/>
          </w:tcPr>
          <w:p>
            <w:pPr>
              <w:pStyle w:val="12"/>
            </w:pPr>
          </w:p>
        </w:tc>
        <w:tc>
          <w:tcPr>
            <w:tcW w:w="2551" w:type="dxa"/>
            <w:vAlign w:val="center"/>
          </w:tcPr>
          <w:p>
            <w:pPr>
              <w:pStyle w:val="12"/>
            </w:pPr>
            <w: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0.74</w:t>
            </w:r>
          </w:p>
        </w:tc>
        <w:tc>
          <w:tcPr>
            <w:tcW w:w="2551" w:type="dxa"/>
            <w:vAlign w:val="center"/>
          </w:tcPr>
          <w:p>
            <w:pPr>
              <w:pStyle w:val="12"/>
            </w:pPr>
          </w:p>
        </w:tc>
        <w:tc>
          <w:tcPr>
            <w:tcW w:w="2551" w:type="dxa"/>
            <w:vAlign w:val="center"/>
          </w:tcPr>
          <w:p>
            <w:pPr>
              <w:pStyle w:val="12"/>
            </w:pPr>
            <w:r>
              <w:t>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0.49</w:t>
            </w:r>
          </w:p>
        </w:tc>
        <w:tc>
          <w:tcPr>
            <w:tcW w:w="2551" w:type="dxa"/>
            <w:vAlign w:val="center"/>
          </w:tcPr>
          <w:p>
            <w:pPr>
              <w:pStyle w:val="12"/>
            </w:pPr>
          </w:p>
        </w:tc>
        <w:tc>
          <w:tcPr>
            <w:tcW w:w="2551" w:type="dxa"/>
            <w:vAlign w:val="center"/>
          </w:tcPr>
          <w:p>
            <w:pPr>
              <w:pStyle w:val="12"/>
            </w:pPr>
            <w:r>
              <w:t>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0.22</w:t>
            </w:r>
          </w:p>
        </w:tc>
        <w:tc>
          <w:tcPr>
            <w:tcW w:w="2551" w:type="dxa"/>
            <w:vAlign w:val="center"/>
          </w:tcPr>
          <w:p>
            <w:pPr>
              <w:pStyle w:val="12"/>
            </w:pPr>
          </w:p>
        </w:tc>
        <w:tc>
          <w:tcPr>
            <w:tcW w:w="2551" w:type="dxa"/>
            <w:vAlign w:val="center"/>
          </w:tcPr>
          <w:p>
            <w:pPr>
              <w:pStyle w:val="12"/>
            </w:pPr>
            <w:r>
              <w:t>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4.22</w:t>
            </w:r>
          </w:p>
        </w:tc>
        <w:tc>
          <w:tcPr>
            <w:tcW w:w="2551" w:type="dxa"/>
            <w:vAlign w:val="center"/>
          </w:tcPr>
          <w:p>
            <w:pPr>
              <w:pStyle w:val="12"/>
            </w:pPr>
            <w:r>
              <w:t>4.22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4.22</w:t>
            </w:r>
          </w:p>
        </w:tc>
        <w:tc>
          <w:tcPr>
            <w:tcW w:w="2551" w:type="dxa"/>
            <w:vAlign w:val="center"/>
          </w:tcPr>
          <w:p>
            <w:pPr>
              <w:pStyle w:val="12"/>
            </w:pPr>
            <w:r>
              <w:t>4.22</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1.88</w:t>
            </w:r>
          </w:p>
        </w:tc>
        <w:tc>
          <w:tcPr>
            <w:tcW w:w="2381" w:type="dxa"/>
            <w:vAlign w:val="center"/>
          </w:tcPr>
          <w:p>
            <w:pPr>
              <w:pStyle w:val="16"/>
            </w:pPr>
            <w:r>
              <w:t>1.88</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1.88</w:t>
            </w:r>
          </w:p>
        </w:tc>
        <w:tc>
          <w:tcPr>
            <w:tcW w:w="2381" w:type="dxa"/>
            <w:vAlign w:val="center"/>
          </w:tcPr>
          <w:p>
            <w:pPr>
              <w:pStyle w:val="12"/>
            </w:pPr>
            <w:r>
              <w:t>1.88</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1.80</w:t>
            </w:r>
          </w:p>
        </w:tc>
        <w:tc>
          <w:tcPr>
            <w:tcW w:w="2381" w:type="dxa"/>
            <w:vAlign w:val="center"/>
          </w:tcPr>
          <w:p>
            <w:pPr>
              <w:pStyle w:val="12"/>
            </w:pPr>
            <w:r>
              <w:t>1.80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1.80</w:t>
            </w:r>
          </w:p>
        </w:tc>
        <w:tc>
          <w:tcPr>
            <w:tcW w:w="2381" w:type="dxa"/>
            <w:vAlign w:val="center"/>
          </w:tcPr>
          <w:p>
            <w:pPr>
              <w:pStyle w:val="12"/>
            </w:pPr>
            <w:r>
              <w:t>1.80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0.08</w:t>
            </w:r>
          </w:p>
        </w:tc>
        <w:tc>
          <w:tcPr>
            <w:tcW w:w="2381" w:type="dxa"/>
            <w:vAlign w:val="center"/>
          </w:tcPr>
          <w:p>
            <w:pPr>
              <w:pStyle w:val="12"/>
            </w:pPr>
            <w:r>
              <w:t>0.08</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秦皇岛经济技术开发区建设项目评审中心2025年部门预算信息公开情况说明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秦皇岛经济技术开发区建设项目评审中心2025年部门预算信息公开情况说明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按照《中华人民共和国预算法》、《地方预决算公开操作规程》和《关于进一步推进预算公开工作的实施意见》规定，现将秦皇岛经济技术开发区建设项目评审中心2025年部门预算公开如下：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负责财政性资金投资的建设项目工程概（预）算、工程价款结算、竣工结算及招标工程标底的审查工作；负责财政性资金投资的建设项目工程可行性研究、论证及效益评价工作；参与预算定额和材料预算价格的测算、评估、评审；对政府投资项目的预算、结（决）算审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秦皇岛经济技术开发区建设项目评审中心(本级)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按照预算管理有关规定，目前部门预算的编制实行综合预算管理，即全部收入和支出都反映在预算中。秦皇岛经济技术开发区建设项目评审中心机关及所属事业单位的收支包含在部门预算中。</w:t>
      </w:r>
    </w:p>
    <w:p>
      <w:pPr>
        <w:pStyle w:val="19"/>
      </w:pPr>
      <w:r>
        <w:t>1、收入说明</w:t>
      </w:r>
    </w:p>
    <w:p>
      <w:pPr>
        <w:pStyle w:val="19"/>
      </w:pPr>
      <w:r>
        <w:t>反映本部门当年全部收入。2025年预算收入381.18万元，其中：一般公共预算收入381.18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秦皇岛经济技术开发区建设项目评审中心年度部门预算中支出预算的总体情况。2025年支出预算381.18万元，其中基本支出92.78万元，包括人员经费87.85万元和日常公用经费4.93万元；项目支出288.40万元，主要为（1）人员经费为在职人员各类工资、补贴、保险、住房公积金等；（2）日常公用经费为核定的办公费、公车运行维护费等；（2）项目支出为本年度计划执行的服务项目，别为评审业务服务费及评审项目复核服务费。</w:t>
      </w:r>
    </w:p>
    <w:p>
      <w:pPr>
        <w:pStyle w:val="19"/>
      </w:pPr>
      <w:r>
        <w:t>3、比上年增减情况</w:t>
      </w:r>
    </w:p>
    <w:p>
      <w:pPr>
        <w:pStyle w:val="19"/>
      </w:pPr>
      <w:r>
        <w:t>2025年预算收支安排381.18万元，较2024年预算减少25.46万元，其中：基本支出减少4.63万元，主要为基本工资等项目减少。项目支出减少20.83万元，主要为2024年评审项目人员复核服务费项目采购执行预算减少。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2025年，我部门机关运行经费共计安排4.93万元，主要用于日常维修、办公用房水电费、办公用房取暖费、办公用房物业管理费等日常运行支出。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1.88万元，其中因公出国（境）费0.00万元；公务用车购置及运维费1.80万元（其中：公务用车购置费为0.00万元，公务用车运维费1.80万元)；公务接待费0.08万元。与2024年相比减少0.01万元，增减变化的主要原因是公务接待费减少。</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服务项目建设为中心，对开发区财政投资建设项目开展专业评审工作，提出相关建议，规范投资行为，提高投资效益，全面完成上级交派的各项任务。一是统筹做好工程预结算评审工作。服从全局安排，圆满完成工程评审工作，拟定全年完成各类评审工作120项以上。二是推进数字化、信息化建设，加强档案管理工作。三是按照国家、省市对评审工作要求，与各相关部门协调，进一步完善评审工作管理方法，规范各建设单位工程项目管理行为，提高投资效益。四是构建公开、公平、公正的投资评审环境。充分发挥造价管理职能作用。加强国有投融资工程造价评审管理，严格执行相关政策，努力使各项审核程序公开公正公平，提高开发区建设工程评审工作监督效率和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（一）统筹做好工程预结算评审工作</w:t>
      </w:r>
    </w:p>
    <w:p>
      <w:pPr>
        <w:pStyle w:val="23"/>
      </w:pPr>
      <w:r>
        <w:t>绩效目标：完成各类评审工作，组织8名专业技术人员开展驻场复核工作,努力保障建设项目评审结果合理合法、客观公正。</w:t>
      </w:r>
    </w:p>
    <w:p>
      <w:pPr>
        <w:pStyle w:val="23"/>
      </w:pPr>
      <w:r>
        <w:t>绩效指标：总体工作实际完成率≥86%；完成各类建设项目评审工作≥120；平均偏差率≦5%。</w:t>
      </w:r>
    </w:p>
    <w:p>
      <w:pPr>
        <w:pStyle w:val="23"/>
      </w:pPr>
      <w:r>
        <w:t>（二）推进数字化、信息化建设</w:t>
      </w:r>
    </w:p>
    <w:p>
      <w:pPr>
        <w:pStyle w:val="23"/>
      </w:pPr>
      <w:r>
        <w:t>绩效目标：加强档案管理工作，购置造价咨询系统，维护造价软件正常运转，保障各项评审及复核工作顺利开展。</w:t>
      </w:r>
    </w:p>
    <w:p>
      <w:pPr>
        <w:pStyle w:val="23"/>
      </w:pPr>
      <w:r>
        <w:t>绩效指标：购置造价咨询系统数量=2套；造价软件及询价系统持续使用时间≥1年；实际完成率≥87%；有效提高评审质量，拓宽建筑市场信息来源。</w:t>
      </w:r>
    </w:p>
    <w:p>
      <w:pPr>
        <w:pStyle w:val="23"/>
      </w:pPr>
      <w:r>
        <w:t>（三）进一步完善评审工作管理方法</w:t>
      </w:r>
    </w:p>
    <w:p>
      <w:pPr>
        <w:pStyle w:val="23"/>
      </w:pPr>
      <w:r>
        <w:t>绩效目标：规范各建设单位工程项目管理行为，提高投资效益。</w:t>
      </w:r>
    </w:p>
    <w:p>
      <w:pPr>
        <w:pStyle w:val="23"/>
      </w:pPr>
      <w:r>
        <w:t>绩效指标：出具的评审结果平均审减率≥6.5%；平均每项评审报告查出问题或提出修改意见≥7个；通过评审工作的开展，为财政资金结余的同时提高财政资金的投资效益。</w:t>
      </w:r>
    </w:p>
    <w:p>
      <w:pPr>
        <w:pStyle w:val="23"/>
      </w:pPr>
      <w:r>
        <w:t>（四）充分发挥造价管理职能作用</w:t>
      </w:r>
    </w:p>
    <w:p>
      <w:pPr>
        <w:pStyle w:val="23"/>
      </w:pPr>
      <w:r>
        <w:t>绩效目标：加强国有投融资工程造价评审管理，严格执行国家、地方及开发区相关政策，努力使各项审核程序公开公正公平，提高开发区建设工程评审工作监督效率和水平。</w:t>
      </w:r>
    </w:p>
    <w:p>
      <w:pPr>
        <w:pStyle w:val="23"/>
      </w:pPr>
      <w:r>
        <w:t>绩效指标：风险发生率≦2%；投资行为规范性≥78%；项目建设单位及上级部门对评审工作的满意率≥93%。</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（一）完善制度建设。建立健全内部控制制度，加强项目管理，梳理本部门各类经济活动的业务流程，明确业务环节，系统分析经济活动风险，确定风险点，选择风 险应对策略，在此基础上根据国家有关规定建立健全部门各项内部管 理制度并督促相关工作人员认真执行。</w:t>
      </w:r>
    </w:p>
    <w:p>
      <w:pPr>
        <w:pStyle w:val="24"/>
      </w:pPr>
      <w:r>
        <w:t>（二）加强支出管理。规范预算资金支出管理，提高财政资金使用效益，严格按照本部门费用报销制度、审批制度等规定执行，强化绩效理念和责任意识，定期开展绩效自评。</w:t>
      </w:r>
    </w:p>
    <w:p>
      <w:pPr>
        <w:pStyle w:val="24"/>
      </w:pPr>
      <w:r>
        <w:t>（三）加强绩效运行监控。制定本部门预算绩效管理的制度，将绩效理念融入预算编制、执行、监督、评价和问责全过程，定期开展绩效监控，根据预算绩效管理中发现的问题提出建议并积极改正。</w:t>
      </w:r>
    </w:p>
    <w:p>
      <w:pPr>
        <w:pStyle w:val="24"/>
      </w:pPr>
      <w:r>
        <w:t>（四）做好绩效自评。制定并严格执行本部门预算绩效管理的制度，对有关制度的实施情况进行监督检查；实施绩效自评并由绩效自评小组对结果进行监督、考核；根据预算绩效管理中发现的问题提出绩效问责建议。</w:t>
      </w:r>
    </w:p>
    <w:p>
      <w:pPr>
        <w:pStyle w:val="24"/>
      </w:pPr>
      <w:r>
        <w:t>（五）规范财务资产管理。规范资金、票据、印章、资产等管理工作，明确资金业务管理的相关部门及岗位的职责权限，确保办理资金业务的不相容岗位相互分离、相互制约和监督；维护财务资产的安全和完整，合理配置资产，提高资产使用效益；建立财务资产管理监督体系，健全资产配置、使用、处置等全过程的监督制约机制，日常监督与专项检查相结合。</w:t>
      </w:r>
    </w:p>
    <w:p>
      <w:pPr>
        <w:pStyle w:val="24"/>
      </w:pPr>
      <w:r>
        <w:t>（六）加强内部监督。明确各相关岗位在内部监督中的职责权限，规定内部监督的程序和要求，对内部控制建立与实施情况进行内部监督检查和自我评价；定期或不定期检查部门内部管理制度和机制的建立与执行情况，以及内部控制关键岗位及人员的设置情况等，及时发现内部控制存在的问题并提出改进建议。</w:t>
      </w:r>
    </w:p>
    <w:p>
      <w:pPr>
        <w:pStyle w:val="24"/>
        <w:sectPr>
          <w:pgSz w:w="16840" w:h="11900" w:orient="landscape"/>
          <w:pgMar w:top="1361" w:right="1020" w:bottom="1361" w:left="1020" w:header="720" w:footer="720" w:gutter="0"/>
        </w:sectPr>
      </w:pPr>
      <w:r>
        <w:t>（七）加强宣传培训调研等。提高预算绩效管理认识，强化以“绩效为中心、对支出结果负责、对社会公众负责”的理念。定期召开会议、组织相关培训，加大绩效宣传力度，积极促进绩效执行到位。加强调研，提出优化财政资金配置、提高资金使用效益的意见。</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1、评审项目复核服务费绩效目标表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13031125P00001210002R</w:t>
            </w:r>
          </w:p>
        </w:tc>
        <w:tc>
          <w:tcPr>
            <w:tcW w:w="2835" w:type="dxa"/>
            <w:vAlign w:val="center"/>
          </w:tcPr>
          <w:p>
            <w:pPr>
              <w:pStyle w:val="11"/>
            </w:pPr>
            <w:r>
              <w:t>项目名称</w:t>
            </w:r>
          </w:p>
        </w:tc>
        <w:tc>
          <w:tcPr>
            <w:tcW w:w="6095" w:type="dxa"/>
            <w:gridSpan w:val="3"/>
            <w:vAlign w:val="center"/>
          </w:tcPr>
          <w:p>
            <w:pPr>
              <w:pStyle w:val="13"/>
            </w:pPr>
            <w:r>
              <w:t>评审项目复核服务费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用于开展评审报告复核工作的服务费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1.通过监督和指导服务供应商开展评审报告复核工作，使复核程序和结果满足法律、法规和行业技术标准，并满足各相关方需求；促使全年出具复核报告约65个以上，平均审减率≥2.6%</w:t>
            </w:r>
          </w:p>
          <w:p>
            <w:pPr>
              <w:pStyle w:val="13"/>
            </w:pPr>
            <w:r>
              <w:t>2.通过加强建设项目审核，保障开发区财政和国有企业投资基本建设项目在合法、合规的框架内顺利实施开展，帮助提高各单位建设项目管理的整体质量。</w:t>
            </w:r>
          </w:p>
          <w:p>
            <w:pPr>
              <w:pStyle w:val="13"/>
            </w:pPr>
            <w:r>
              <w:t>3.通过及时开展项目的采购工作，确保项目的顺利进行，保障8名复核人员工作的及时性和连续性。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派驻人员数量</w:t>
            </w:r>
          </w:p>
        </w:tc>
        <w:tc>
          <w:tcPr>
            <w:tcW w:w="5386" w:type="dxa"/>
            <w:vAlign w:val="center"/>
          </w:tcPr>
          <w:p>
            <w:pPr>
              <w:pStyle w:val="13"/>
            </w:pPr>
            <w:r>
              <w:t>中介机构派出的驻场复核人员数量</w:t>
            </w:r>
          </w:p>
        </w:tc>
        <w:tc>
          <w:tcPr>
            <w:tcW w:w="2268" w:type="dxa"/>
            <w:vAlign w:val="center"/>
          </w:tcPr>
          <w:p>
            <w:pPr>
              <w:pStyle w:val="13"/>
            </w:pPr>
            <w:r>
              <w:t>≥8人</w:t>
            </w:r>
          </w:p>
        </w:tc>
        <w:tc>
          <w:tcPr>
            <w:tcW w:w="1276" w:type="dxa"/>
            <w:vAlign w:val="center"/>
          </w:tcPr>
          <w:p>
            <w:pPr>
              <w:pStyle w:val="13"/>
            </w:pPr>
            <w:r>
              <w:t>21年8次工委会议纪要、秦人社[2019]38号文件、2024年复核服务框架协议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出具报告数量</w:t>
            </w:r>
          </w:p>
        </w:tc>
        <w:tc>
          <w:tcPr>
            <w:tcW w:w="5386" w:type="dxa"/>
            <w:vAlign w:val="center"/>
          </w:tcPr>
          <w:p>
            <w:pPr>
              <w:pStyle w:val="13"/>
            </w:pPr>
            <w:r>
              <w:t>出具复核报告数量</w:t>
            </w:r>
          </w:p>
        </w:tc>
        <w:tc>
          <w:tcPr>
            <w:tcW w:w="2268" w:type="dxa"/>
            <w:vAlign w:val="center"/>
          </w:tcPr>
          <w:p>
            <w:pPr>
              <w:pStyle w:val="13"/>
            </w:pPr>
            <w:r>
              <w:t>≥65个</w:t>
            </w:r>
          </w:p>
        </w:tc>
        <w:tc>
          <w:tcPr>
            <w:tcW w:w="1276" w:type="dxa"/>
            <w:vAlign w:val="center"/>
          </w:tcPr>
          <w:p>
            <w:pPr>
              <w:pStyle w:val="13"/>
            </w:pPr>
            <w:r>
              <w:t>年末复核报告统计</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项目合格率</w:t>
            </w:r>
          </w:p>
        </w:tc>
        <w:tc>
          <w:tcPr>
            <w:tcW w:w="5386" w:type="dxa"/>
            <w:vAlign w:val="center"/>
          </w:tcPr>
          <w:p>
            <w:pPr>
              <w:pStyle w:val="13"/>
            </w:pPr>
            <w:r>
              <w:t>经抽查合格项目的数量占总数量之比</w:t>
            </w:r>
          </w:p>
        </w:tc>
        <w:tc>
          <w:tcPr>
            <w:tcW w:w="2268" w:type="dxa"/>
            <w:vAlign w:val="center"/>
          </w:tcPr>
          <w:p>
            <w:pPr>
              <w:pStyle w:val="13"/>
            </w:pPr>
            <w:r>
              <w:t>≥95%</w:t>
            </w:r>
          </w:p>
        </w:tc>
        <w:tc>
          <w:tcPr>
            <w:tcW w:w="1276" w:type="dxa"/>
            <w:vAlign w:val="center"/>
          </w:tcPr>
          <w:p>
            <w:pPr>
              <w:pStyle w:val="13"/>
            </w:pPr>
            <w:r>
              <w:t>年末复核报告统计</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采购完成时间</w:t>
            </w:r>
          </w:p>
        </w:tc>
        <w:tc>
          <w:tcPr>
            <w:tcW w:w="5386" w:type="dxa"/>
            <w:vAlign w:val="center"/>
          </w:tcPr>
          <w:p>
            <w:pPr>
              <w:pStyle w:val="13"/>
            </w:pPr>
            <w:r>
              <w:t>6月底完成项目采购</w:t>
            </w:r>
          </w:p>
        </w:tc>
        <w:tc>
          <w:tcPr>
            <w:tcW w:w="2268" w:type="dxa"/>
            <w:vAlign w:val="center"/>
          </w:tcPr>
          <w:p>
            <w:pPr>
              <w:pStyle w:val="13"/>
            </w:pPr>
            <w:r>
              <w:t>6月底前</w:t>
            </w:r>
          </w:p>
        </w:tc>
        <w:tc>
          <w:tcPr>
            <w:tcW w:w="1276" w:type="dxa"/>
            <w:vAlign w:val="center"/>
          </w:tcPr>
          <w:p>
            <w:pPr>
              <w:pStyle w:val="13"/>
            </w:pPr>
            <w:r>
              <w:t>项目中标通知书</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项目月成本</w:t>
            </w:r>
          </w:p>
        </w:tc>
        <w:tc>
          <w:tcPr>
            <w:tcW w:w="5386" w:type="dxa"/>
            <w:vAlign w:val="center"/>
          </w:tcPr>
          <w:p>
            <w:pPr>
              <w:pStyle w:val="13"/>
            </w:pPr>
            <w:r>
              <w:t>项目执行过程中每月平均支付的服务费</w:t>
            </w:r>
          </w:p>
        </w:tc>
        <w:tc>
          <w:tcPr>
            <w:tcW w:w="2268" w:type="dxa"/>
            <w:vAlign w:val="center"/>
          </w:tcPr>
          <w:p>
            <w:pPr>
              <w:pStyle w:val="13"/>
            </w:pPr>
            <w:r>
              <w:t>≤8.34万元</w:t>
            </w:r>
          </w:p>
        </w:tc>
        <w:tc>
          <w:tcPr>
            <w:tcW w:w="1276" w:type="dxa"/>
            <w:vAlign w:val="center"/>
          </w:tcPr>
          <w:p>
            <w:pPr>
              <w:pStyle w:val="13"/>
            </w:pPr>
            <w:r>
              <w:t>项目框架协议及相关付款凭证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w:t>
            </w:r>
          </w:p>
        </w:tc>
        <w:tc>
          <w:tcPr>
            <w:tcW w:w="5386" w:type="dxa"/>
            <w:vAlign w:val="center"/>
          </w:tcPr>
          <w:p>
            <w:pPr>
              <w:pStyle w:val="13"/>
            </w:pPr>
            <w:r>
              <w:t>项目成交总成本</w:t>
            </w:r>
          </w:p>
        </w:tc>
        <w:tc>
          <w:tcPr>
            <w:tcW w:w="2268" w:type="dxa"/>
            <w:vAlign w:val="center"/>
          </w:tcPr>
          <w:p>
            <w:pPr>
              <w:pStyle w:val="13"/>
            </w:pPr>
            <w:r>
              <w:t>≤100万元</w:t>
            </w:r>
          </w:p>
        </w:tc>
        <w:tc>
          <w:tcPr>
            <w:tcW w:w="1276" w:type="dxa"/>
            <w:vAlign w:val="center"/>
          </w:tcPr>
          <w:p>
            <w:pPr>
              <w:pStyle w:val="13"/>
            </w:pPr>
            <w:r>
              <w:t>项目框架协议及相关付款凭证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提升财政资金使用效益</w:t>
            </w:r>
          </w:p>
        </w:tc>
        <w:tc>
          <w:tcPr>
            <w:tcW w:w="5386" w:type="dxa"/>
            <w:vAlign w:val="center"/>
          </w:tcPr>
          <w:p>
            <w:pPr>
              <w:pStyle w:val="13"/>
            </w:pPr>
            <w:r>
              <w:t>努力保障开发区基本建设项目投资成本在合理区间运行</w:t>
            </w:r>
          </w:p>
        </w:tc>
        <w:tc>
          <w:tcPr>
            <w:tcW w:w="2268" w:type="dxa"/>
            <w:vAlign w:val="center"/>
          </w:tcPr>
          <w:p>
            <w:pPr>
              <w:pStyle w:val="13"/>
            </w:pPr>
            <w:r>
              <w:t>较上年提高</w:t>
            </w:r>
          </w:p>
        </w:tc>
        <w:tc>
          <w:tcPr>
            <w:tcW w:w="1276" w:type="dxa"/>
            <w:vAlign w:val="center"/>
          </w:tcPr>
          <w:p>
            <w:pPr>
              <w:pStyle w:val="13"/>
            </w:pPr>
            <w:r>
              <w:t>两办关于印发《秦皇岛经济技术开发区财政和国有企业投资基本建设项目评审管理暂行办法》的通知</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财政资金的节省率</w:t>
            </w:r>
          </w:p>
        </w:tc>
        <w:tc>
          <w:tcPr>
            <w:tcW w:w="5386" w:type="dxa"/>
            <w:vAlign w:val="center"/>
          </w:tcPr>
          <w:p>
            <w:pPr>
              <w:pStyle w:val="13"/>
            </w:pPr>
            <w:r>
              <w:t>通过对评审报告的再次复核，提高建设项目结算价的审减率，从而节约财政资金。平均每项复核报告审减率</w:t>
            </w:r>
          </w:p>
        </w:tc>
        <w:tc>
          <w:tcPr>
            <w:tcW w:w="2268" w:type="dxa"/>
            <w:vAlign w:val="center"/>
          </w:tcPr>
          <w:p>
            <w:pPr>
              <w:pStyle w:val="13"/>
            </w:pPr>
            <w:r>
              <w:t>≥2.6%</w:t>
            </w:r>
          </w:p>
        </w:tc>
        <w:tc>
          <w:tcPr>
            <w:tcW w:w="1276" w:type="dxa"/>
            <w:vAlign w:val="center"/>
          </w:tcPr>
          <w:p>
            <w:pPr>
              <w:pStyle w:val="13"/>
            </w:pPr>
            <w:r>
              <w:t>复核报告</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各项目建设单位的满意率</w:t>
            </w:r>
          </w:p>
        </w:tc>
        <w:tc>
          <w:tcPr>
            <w:tcW w:w="5386" w:type="dxa"/>
            <w:vAlign w:val="center"/>
          </w:tcPr>
          <w:p>
            <w:pPr>
              <w:pStyle w:val="13"/>
            </w:pPr>
            <w:r>
              <w:t>各项目建设单位的满意率</w:t>
            </w:r>
          </w:p>
        </w:tc>
        <w:tc>
          <w:tcPr>
            <w:tcW w:w="2268" w:type="dxa"/>
            <w:vAlign w:val="center"/>
          </w:tcPr>
          <w:p>
            <w:pPr>
              <w:pStyle w:val="13"/>
            </w:pPr>
            <w:r>
              <w:t>≥93%</w:t>
            </w:r>
          </w:p>
        </w:tc>
        <w:tc>
          <w:tcPr>
            <w:tcW w:w="1276" w:type="dxa"/>
            <w:vAlign w:val="center"/>
          </w:tcPr>
          <w:p>
            <w:pPr>
              <w:pStyle w:val="13"/>
            </w:pPr>
            <w:r>
              <w:t>调查情况</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2、评审业务服务费绩效目标表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13031125P00001210003D</w:t>
            </w:r>
          </w:p>
        </w:tc>
        <w:tc>
          <w:tcPr>
            <w:tcW w:w="2835" w:type="dxa"/>
            <w:vAlign w:val="center"/>
          </w:tcPr>
          <w:p>
            <w:pPr>
              <w:pStyle w:val="11"/>
            </w:pPr>
            <w:r>
              <w:t>项目名称</w:t>
            </w:r>
          </w:p>
        </w:tc>
        <w:tc>
          <w:tcPr>
            <w:tcW w:w="6095" w:type="dxa"/>
            <w:gridSpan w:val="3"/>
            <w:vAlign w:val="center"/>
          </w:tcPr>
          <w:p>
            <w:pPr>
              <w:pStyle w:val="13"/>
            </w:pPr>
            <w:r>
              <w:t>评审业务服务费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w:t>
            </w:r>
          </w:p>
        </w:tc>
        <w:tc>
          <w:tcPr>
            <w:tcW w:w="2835" w:type="dxa"/>
            <w:vAlign w:val="center"/>
          </w:tcPr>
          <w:p>
            <w:pPr>
              <w:pStyle w:val="11"/>
            </w:pPr>
            <w:r>
              <w:t>其中：财政    资金</w:t>
            </w:r>
          </w:p>
        </w:tc>
        <w:tc>
          <w:tcPr>
            <w:tcW w:w="2551" w:type="dxa"/>
            <w:vAlign w:val="center"/>
          </w:tcPr>
          <w:p>
            <w:pPr>
              <w:pStyle w:val="13"/>
            </w:pPr>
            <w:r>
              <w:t>180.00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用于支付委托社会中介机构完成评审工作的服务费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1.通过严格审核制度，确保每笔资金支出的真实有效，使支出金额准确无误。</w:t>
            </w:r>
          </w:p>
          <w:p>
            <w:pPr>
              <w:pStyle w:val="13"/>
            </w:pPr>
            <w:r>
              <w:t>2.通过有效控制开发区财政和国有企业投资进本建设项目的投资成本，发挥财政资金最大使用效益，保障开发区财政和国有企业投资基建项目结算价格合法、客观、公正、严谨。</w:t>
            </w:r>
          </w:p>
          <w:p>
            <w:pPr>
              <w:pStyle w:val="13"/>
            </w:pPr>
            <w:r>
              <w:t>3.通过评审全年完成结算项目及拦标价项目评审约96项，保证平均审减率大于6.5%，偏差率控制在5%以内，做到最大限度的节约财政资金，全年计划产值随实际工作情况及时调整。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评审数量</w:t>
            </w:r>
          </w:p>
        </w:tc>
        <w:tc>
          <w:tcPr>
            <w:tcW w:w="5386" w:type="dxa"/>
            <w:vAlign w:val="center"/>
          </w:tcPr>
          <w:p>
            <w:pPr>
              <w:pStyle w:val="13"/>
            </w:pPr>
            <w:r>
              <w:t>完成评审项目数量</w:t>
            </w:r>
          </w:p>
          <w:p>
            <w:pPr>
              <w:pStyle w:val="13"/>
            </w:pPr>
          </w:p>
        </w:tc>
        <w:tc>
          <w:tcPr>
            <w:tcW w:w="2268" w:type="dxa"/>
            <w:vAlign w:val="center"/>
          </w:tcPr>
          <w:p>
            <w:pPr>
              <w:pStyle w:val="13"/>
            </w:pPr>
            <w:r>
              <w:t>≥96项</w:t>
            </w:r>
          </w:p>
        </w:tc>
        <w:tc>
          <w:tcPr>
            <w:tcW w:w="1276" w:type="dxa"/>
            <w:vAlign w:val="center"/>
          </w:tcPr>
          <w:p>
            <w:pPr>
              <w:pStyle w:val="13"/>
            </w:pPr>
            <w:r>
              <w:t>秦开工办[2022]16号、各建设单位报审项目统计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评审合格率</w:t>
            </w:r>
          </w:p>
        </w:tc>
        <w:tc>
          <w:tcPr>
            <w:tcW w:w="5386" w:type="dxa"/>
            <w:vAlign w:val="center"/>
          </w:tcPr>
          <w:p>
            <w:pPr>
              <w:pStyle w:val="13"/>
            </w:pPr>
            <w:r>
              <w:t>评审项目合格数占总数比例</w:t>
            </w:r>
          </w:p>
        </w:tc>
        <w:tc>
          <w:tcPr>
            <w:tcW w:w="2268" w:type="dxa"/>
            <w:vAlign w:val="center"/>
          </w:tcPr>
          <w:p>
            <w:pPr>
              <w:pStyle w:val="13"/>
            </w:pPr>
            <w:r>
              <w:t>≥97%</w:t>
            </w:r>
          </w:p>
        </w:tc>
        <w:tc>
          <w:tcPr>
            <w:tcW w:w="1276" w:type="dxa"/>
            <w:vAlign w:val="center"/>
          </w:tcPr>
          <w:p>
            <w:pPr>
              <w:pStyle w:val="13"/>
            </w:pPr>
            <w:r>
              <w:t>最终评审报告</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评审项目按时完成率</w:t>
            </w:r>
          </w:p>
        </w:tc>
        <w:tc>
          <w:tcPr>
            <w:tcW w:w="5386" w:type="dxa"/>
            <w:vAlign w:val="center"/>
          </w:tcPr>
          <w:p>
            <w:pPr>
              <w:pStyle w:val="13"/>
            </w:pPr>
            <w:r>
              <w:t>按时完成项目占总项目比例</w:t>
            </w:r>
          </w:p>
        </w:tc>
        <w:tc>
          <w:tcPr>
            <w:tcW w:w="2268" w:type="dxa"/>
            <w:vAlign w:val="center"/>
          </w:tcPr>
          <w:p>
            <w:pPr>
              <w:pStyle w:val="13"/>
            </w:pPr>
            <w:r>
              <w:t>≥75%</w:t>
            </w:r>
          </w:p>
        </w:tc>
        <w:tc>
          <w:tcPr>
            <w:tcW w:w="1276" w:type="dxa"/>
            <w:vAlign w:val="center"/>
          </w:tcPr>
          <w:p>
            <w:pPr>
              <w:pStyle w:val="13"/>
            </w:pPr>
            <w:r>
              <w:t>秦开工办[2022]16号、最终评审报告、框架协议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评审成本</w:t>
            </w:r>
          </w:p>
        </w:tc>
        <w:tc>
          <w:tcPr>
            <w:tcW w:w="5386" w:type="dxa"/>
            <w:vAlign w:val="center"/>
          </w:tcPr>
          <w:p>
            <w:pPr>
              <w:pStyle w:val="13"/>
            </w:pPr>
            <w:r>
              <w:t>参照秦财评审【2016】810号文件计费标准计算每个委托项目的费用，最终付费依据投标后的折扣及最终审减率计算，总支出不超过年初预算。</w:t>
            </w:r>
          </w:p>
        </w:tc>
        <w:tc>
          <w:tcPr>
            <w:tcW w:w="2268" w:type="dxa"/>
            <w:vAlign w:val="center"/>
          </w:tcPr>
          <w:p>
            <w:pPr>
              <w:pStyle w:val="13"/>
            </w:pPr>
            <w:r>
              <w:t>≤180万元</w:t>
            </w:r>
          </w:p>
        </w:tc>
        <w:tc>
          <w:tcPr>
            <w:tcW w:w="1276" w:type="dxa"/>
            <w:vAlign w:val="center"/>
          </w:tcPr>
          <w:p>
            <w:pPr>
              <w:pStyle w:val="13"/>
            </w:pPr>
            <w:r>
              <w:t>秦开工办[2022]16号、最终评审报告、框架协议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评审报告偏差率</w:t>
            </w:r>
          </w:p>
        </w:tc>
        <w:tc>
          <w:tcPr>
            <w:tcW w:w="5386" w:type="dxa"/>
            <w:vAlign w:val="center"/>
          </w:tcPr>
          <w:p>
            <w:pPr>
              <w:pStyle w:val="13"/>
            </w:pPr>
            <w:r>
              <w:t>经复核每项评审报告的偏差率</w:t>
            </w:r>
          </w:p>
        </w:tc>
        <w:tc>
          <w:tcPr>
            <w:tcW w:w="2268" w:type="dxa"/>
            <w:vAlign w:val="center"/>
          </w:tcPr>
          <w:p>
            <w:pPr>
              <w:pStyle w:val="13"/>
            </w:pPr>
            <w:r>
              <w:t>≤5%</w:t>
            </w:r>
          </w:p>
        </w:tc>
        <w:tc>
          <w:tcPr>
            <w:tcW w:w="1276" w:type="dxa"/>
            <w:vAlign w:val="center"/>
          </w:tcPr>
          <w:p>
            <w:pPr>
              <w:pStyle w:val="13"/>
            </w:pPr>
            <w:r>
              <w:t>最终评审报告、框架协议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促进相关制度及管理体系更加完善</w:t>
            </w:r>
          </w:p>
        </w:tc>
        <w:tc>
          <w:tcPr>
            <w:tcW w:w="5386" w:type="dxa"/>
            <w:vAlign w:val="center"/>
          </w:tcPr>
          <w:p>
            <w:pPr>
              <w:pStyle w:val="13"/>
            </w:pPr>
            <w:r>
              <w:t>通过该项目的实施，保障开发区财政及国有企业投资建设项目评审工作及时顺利开展，协助各项目建设单位完成招投标、项目履约等后续工作，促进开发区工程造价的指标在合理的区间内运行，协助各建设单位提高工程项目管理水平。</w:t>
            </w:r>
          </w:p>
        </w:tc>
        <w:tc>
          <w:tcPr>
            <w:tcW w:w="2268" w:type="dxa"/>
            <w:vAlign w:val="center"/>
          </w:tcPr>
          <w:p>
            <w:pPr>
              <w:pStyle w:val="13"/>
            </w:pPr>
            <w:r>
              <w:t>比上年有所提高</w:t>
            </w:r>
          </w:p>
        </w:tc>
        <w:tc>
          <w:tcPr>
            <w:tcW w:w="1276" w:type="dxa"/>
            <w:vAlign w:val="center"/>
          </w:tcPr>
          <w:p>
            <w:pPr>
              <w:pStyle w:val="13"/>
            </w:pPr>
            <w:r>
              <w:t>秦开工办[2022]16号</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项目平均审减率</w:t>
            </w:r>
          </w:p>
        </w:tc>
        <w:tc>
          <w:tcPr>
            <w:tcW w:w="5386" w:type="dxa"/>
            <w:vAlign w:val="center"/>
          </w:tcPr>
          <w:p>
            <w:pPr>
              <w:pStyle w:val="13"/>
            </w:pPr>
            <w:r>
              <w:t>评审报告的平均审减率</w:t>
            </w:r>
          </w:p>
        </w:tc>
        <w:tc>
          <w:tcPr>
            <w:tcW w:w="2268" w:type="dxa"/>
            <w:vAlign w:val="center"/>
          </w:tcPr>
          <w:p>
            <w:pPr>
              <w:pStyle w:val="13"/>
            </w:pPr>
            <w:r>
              <w:t>≥6.5%</w:t>
            </w:r>
          </w:p>
        </w:tc>
        <w:tc>
          <w:tcPr>
            <w:tcW w:w="1276" w:type="dxa"/>
            <w:vAlign w:val="center"/>
          </w:tcPr>
          <w:p>
            <w:pPr>
              <w:pStyle w:val="13"/>
            </w:pPr>
            <w:r>
              <w:t>最终评审报告</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各项目建设单位及主管部门满意率</w:t>
            </w:r>
          </w:p>
        </w:tc>
        <w:tc>
          <w:tcPr>
            <w:tcW w:w="5386" w:type="dxa"/>
            <w:vAlign w:val="center"/>
          </w:tcPr>
          <w:p>
            <w:pPr>
              <w:pStyle w:val="13"/>
            </w:pPr>
            <w:r>
              <w:t>各项目建设单位及主管部门满意率</w:t>
            </w:r>
          </w:p>
        </w:tc>
        <w:tc>
          <w:tcPr>
            <w:tcW w:w="2268" w:type="dxa"/>
            <w:vAlign w:val="center"/>
          </w:tcPr>
          <w:p>
            <w:pPr>
              <w:pStyle w:val="13"/>
            </w:pPr>
            <w:r>
              <w:t>≥92%</w:t>
            </w:r>
          </w:p>
        </w:tc>
        <w:tc>
          <w:tcPr>
            <w:tcW w:w="1276" w:type="dxa"/>
            <w:vAlign w:val="center"/>
          </w:tcPr>
          <w:p>
            <w:pPr>
              <w:pStyle w:val="13"/>
            </w:pPr>
            <w:r>
              <w:t>调查情况</w:t>
            </w:r>
          </w:p>
          <w:p>
            <w:pPr>
              <w:pStyle w:val="13"/>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3、造价软件及询价系统使用维护费绩效目标表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13031125P00013510282J</w:t>
            </w:r>
          </w:p>
        </w:tc>
        <w:tc>
          <w:tcPr>
            <w:tcW w:w="2835" w:type="dxa"/>
            <w:vAlign w:val="center"/>
          </w:tcPr>
          <w:p>
            <w:pPr>
              <w:pStyle w:val="11"/>
            </w:pPr>
            <w:r>
              <w:t>项目名称</w:t>
            </w:r>
          </w:p>
        </w:tc>
        <w:tc>
          <w:tcPr>
            <w:tcW w:w="6095" w:type="dxa"/>
            <w:gridSpan w:val="3"/>
            <w:vAlign w:val="center"/>
          </w:tcPr>
          <w:p>
            <w:pPr>
              <w:pStyle w:val="13"/>
            </w:pPr>
            <w:r>
              <w:t>造价软件及询价系统使用维护费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w:t>
            </w:r>
          </w:p>
        </w:tc>
        <w:tc>
          <w:tcPr>
            <w:tcW w:w="2835" w:type="dxa"/>
            <w:vAlign w:val="center"/>
          </w:tcPr>
          <w:p>
            <w:pPr>
              <w:pStyle w:val="11"/>
            </w:pPr>
            <w:r>
              <w:t>其中：财政    资金</w:t>
            </w:r>
          </w:p>
        </w:tc>
        <w:tc>
          <w:tcPr>
            <w:tcW w:w="2551" w:type="dxa"/>
            <w:vAlign w:val="center"/>
          </w:tcPr>
          <w:p>
            <w:pPr>
              <w:pStyle w:val="13"/>
            </w:pPr>
            <w:r>
              <w:t>6.40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用于升级维护造价软件及询价系统的费用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1.通过对广联达、新奔腾等软件的升级及维护，确保系统软件正常运行，保障评审工作顺利开展。</w:t>
            </w:r>
          </w:p>
          <w:p>
            <w:pPr>
              <w:pStyle w:val="13"/>
            </w:pPr>
            <w:r>
              <w:t>2.通过开通2套造价咨询系统，辅助工程造价工作，提高评审效率，保障各项评审工作如期完成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维护项目数量</w:t>
            </w:r>
          </w:p>
        </w:tc>
        <w:tc>
          <w:tcPr>
            <w:tcW w:w="5386" w:type="dxa"/>
            <w:vAlign w:val="center"/>
          </w:tcPr>
          <w:p>
            <w:pPr>
              <w:pStyle w:val="13"/>
            </w:pPr>
            <w:r>
              <w:t>软件及询价系统维护项目数量</w:t>
            </w:r>
          </w:p>
        </w:tc>
        <w:tc>
          <w:tcPr>
            <w:tcW w:w="2268" w:type="dxa"/>
            <w:vAlign w:val="center"/>
          </w:tcPr>
          <w:p>
            <w:pPr>
              <w:pStyle w:val="13"/>
            </w:pPr>
            <w:r>
              <w:t>≥4项</w:t>
            </w:r>
          </w:p>
        </w:tc>
        <w:tc>
          <w:tcPr>
            <w:tcW w:w="1276" w:type="dxa"/>
            <w:vAlign w:val="center"/>
          </w:tcPr>
          <w:p>
            <w:pPr>
              <w:pStyle w:val="13"/>
            </w:pPr>
            <w:r>
              <w:t>年度工作计划及系统维护协议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软件系统合格率</w:t>
            </w:r>
          </w:p>
        </w:tc>
        <w:tc>
          <w:tcPr>
            <w:tcW w:w="5386" w:type="dxa"/>
            <w:vAlign w:val="center"/>
          </w:tcPr>
          <w:p>
            <w:pPr>
              <w:pStyle w:val="13"/>
            </w:pPr>
            <w:r>
              <w:t>实际维护项目符合购买前厂商报送的功能的比例</w:t>
            </w:r>
          </w:p>
        </w:tc>
        <w:tc>
          <w:tcPr>
            <w:tcW w:w="2268" w:type="dxa"/>
            <w:vAlign w:val="center"/>
          </w:tcPr>
          <w:p>
            <w:pPr>
              <w:pStyle w:val="13"/>
            </w:pPr>
            <w:r>
              <w:t>≥90%</w:t>
            </w:r>
          </w:p>
        </w:tc>
        <w:tc>
          <w:tcPr>
            <w:tcW w:w="1276" w:type="dxa"/>
            <w:vAlign w:val="center"/>
          </w:tcPr>
          <w:p>
            <w:pPr>
              <w:pStyle w:val="13"/>
            </w:pPr>
            <w:r>
              <w:t>年度工作计划及系统维护协议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广联达续约时间</w:t>
            </w:r>
          </w:p>
        </w:tc>
        <w:tc>
          <w:tcPr>
            <w:tcW w:w="5386" w:type="dxa"/>
            <w:vAlign w:val="center"/>
          </w:tcPr>
          <w:p>
            <w:pPr>
              <w:pStyle w:val="13"/>
            </w:pPr>
            <w:r>
              <w:t>11月底之前</w:t>
            </w:r>
          </w:p>
        </w:tc>
        <w:tc>
          <w:tcPr>
            <w:tcW w:w="2268" w:type="dxa"/>
            <w:vAlign w:val="center"/>
          </w:tcPr>
          <w:p>
            <w:pPr>
              <w:pStyle w:val="13"/>
            </w:pPr>
            <w:r>
              <w:t>11月底之前</w:t>
            </w:r>
          </w:p>
        </w:tc>
        <w:tc>
          <w:tcPr>
            <w:tcW w:w="1276" w:type="dxa"/>
            <w:vAlign w:val="center"/>
          </w:tcPr>
          <w:p>
            <w:pPr>
              <w:pStyle w:val="13"/>
            </w:pPr>
            <w:r>
              <w:t>年度工作计划及系统维护协议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慧讯网开通时间</w:t>
            </w:r>
          </w:p>
        </w:tc>
        <w:tc>
          <w:tcPr>
            <w:tcW w:w="5386" w:type="dxa"/>
            <w:vAlign w:val="center"/>
          </w:tcPr>
          <w:p>
            <w:pPr>
              <w:pStyle w:val="13"/>
            </w:pPr>
            <w:r>
              <w:t>12月底之前</w:t>
            </w:r>
          </w:p>
        </w:tc>
        <w:tc>
          <w:tcPr>
            <w:tcW w:w="2268" w:type="dxa"/>
            <w:vAlign w:val="center"/>
          </w:tcPr>
          <w:p>
            <w:pPr>
              <w:pStyle w:val="13"/>
            </w:pPr>
            <w:r>
              <w:t>12月底之前</w:t>
            </w:r>
          </w:p>
        </w:tc>
        <w:tc>
          <w:tcPr>
            <w:tcW w:w="1276" w:type="dxa"/>
            <w:vAlign w:val="center"/>
          </w:tcPr>
          <w:p>
            <w:pPr>
              <w:pStyle w:val="13"/>
            </w:pPr>
            <w:r>
              <w:t>年度工作计划及系统维护协议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易择网续约开通时间</w:t>
            </w:r>
          </w:p>
        </w:tc>
        <w:tc>
          <w:tcPr>
            <w:tcW w:w="5386" w:type="dxa"/>
            <w:vAlign w:val="center"/>
          </w:tcPr>
          <w:p>
            <w:pPr>
              <w:pStyle w:val="13"/>
            </w:pPr>
            <w:r>
              <w:t>11月底之前</w:t>
            </w:r>
          </w:p>
        </w:tc>
        <w:tc>
          <w:tcPr>
            <w:tcW w:w="2268" w:type="dxa"/>
            <w:vAlign w:val="center"/>
          </w:tcPr>
          <w:p>
            <w:pPr>
              <w:pStyle w:val="13"/>
            </w:pPr>
            <w:r>
              <w:t>11月底之前</w:t>
            </w:r>
          </w:p>
        </w:tc>
        <w:tc>
          <w:tcPr>
            <w:tcW w:w="1276" w:type="dxa"/>
            <w:vAlign w:val="center"/>
          </w:tcPr>
          <w:p>
            <w:pPr>
              <w:pStyle w:val="13"/>
            </w:pPr>
            <w:r>
              <w:t>年度工作计划及系统维护协议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新奔腾开通时间</w:t>
            </w:r>
          </w:p>
        </w:tc>
        <w:tc>
          <w:tcPr>
            <w:tcW w:w="5386" w:type="dxa"/>
            <w:vAlign w:val="center"/>
          </w:tcPr>
          <w:p>
            <w:pPr>
              <w:pStyle w:val="13"/>
            </w:pPr>
            <w:r>
              <w:t>根据工作需求依据软件厂商新造价模块的发布时间适时开通。</w:t>
            </w:r>
          </w:p>
        </w:tc>
        <w:tc>
          <w:tcPr>
            <w:tcW w:w="2268" w:type="dxa"/>
            <w:vAlign w:val="center"/>
          </w:tcPr>
          <w:p>
            <w:pPr>
              <w:pStyle w:val="13"/>
            </w:pPr>
            <w:r>
              <w:t>按约定时间</w:t>
            </w:r>
          </w:p>
        </w:tc>
        <w:tc>
          <w:tcPr>
            <w:tcW w:w="1276" w:type="dxa"/>
            <w:vAlign w:val="center"/>
          </w:tcPr>
          <w:p>
            <w:pPr>
              <w:pStyle w:val="13"/>
            </w:pPr>
            <w:r>
              <w:t>年度工作计划及系统维护协议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新奔腾软件维护成本</w:t>
            </w:r>
          </w:p>
        </w:tc>
        <w:tc>
          <w:tcPr>
            <w:tcW w:w="5386" w:type="dxa"/>
            <w:vAlign w:val="center"/>
          </w:tcPr>
          <w:p>
            <w:pPr>
              <w:pStyle w:val="13"/>
            </w:pPr>
            <w:r>
              <w:t>维护新奔腾软件所支出的费用</w:t>
            </w:r>
          </w:p>
        </w:tc>
        <w:tc>
          <w:tcPr>
            <w:tcW w:w="2268" w:type="dxa"/>
            <w:vAlign w:val="center"/>
          </w:tcPr>
          <w:p>
            <w:pPr>
              <w:pStyle w:val="13"/>
            </w:pPr>
            <w:r>
              <w:t>≤1.61万元</w:t>
            </w:r>
          </w:p>
        </w:tc>
        <w:tc>
          <w:tcPr>
            <w:tcW w:w="1276" w:type="dxa"/>
            <w:vAlign w:val="center"/>
          </w:tcPr>
          <w:p>
            <w:pPr>
              <w:pStyle w:val="13"/>
            </w:pPr>
            <w:r>
              <w:t>依据合同及发票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慧讯网开通成本</w:t>
            </w:r>
          </w:p>
        </w:tc>
        <w:tc>
          <w:tcPr>
            <w:tcW w:w="5386" w:type="dxa"/>
            <w:vAlign w:val="center"/>
          </w:tcPr>
          <w:p>
            <w:pPr>
              <w:pStyle w:val="13"/>
            </w:pPr>
            <w:r>
              <w:t>开通慧讯网询价系统所支付的费用</w:t>
            </w:r>
          </w:p>
        </w:tc>
        <w:tc>
          <w:tcPr>
            <w:tcW w:w="2268" w:type="dxa"/>
            <w:vAlign w:val="center"/>
          </w:tcPr>
          <w:p>
            <w:pPr>
              <w:pStyle w:val="13"/>
            </w:pPr>
            <w:r>
              <w:t>≤0.94万元</w:t>
            </w:r>
          </w:p>
        </w:tc>
        <w:tc>
          <w:tcPr>
            <w:tcW w:w="1276" w:type="dxa"/>
            <w:vAlign w:val="center"/>
          </w:tcPr>
          <w:p>
            <w:pPr>
              <w:pStyle w:val="13"/>
            </w:pPr>
            <w:r>
              <w:t>依据合同及发票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广联达软件开通成本</w:t>
            </w:r>
          </w:p>
        </w:tc>
        <w:tc>
          <w:tcPr>
            <w:tcW w:w="5386" w:type="dxa"/>
            <w:vAlign w:val="center"/>
          </w:tcPr>
          <w:p>
            <w:pPr>
              <w:pStyle w:val="13"/>
            </w:pPr>
            <w:r>
              <w:t>开通广联达软件1年期使用权所支付的费用</w:t>
            </w:r>
          </w:p>
        </w:tc>
        <w:tc>
          <w:tcPr>
            <w:tcW w:w="2268" w:type="dxa"/>
            <w:vAlign w:val="center"/>
          </w:tcPr>
          <w:p>
            <w:pPr>
              <w:pStyle w:val="13"/>
            </w:pPr>
            <w:r>
              <w:t>≤3万元</w:t>
            </w:r>
          </w:p>
        </w:tc>
        <w:tc>
          <w:tcPr>
            <w:tcW w:w="1276" w:type="dxa"/>
            <w:vAlign w:val="center"/>
          </w:tcPr>
          <w:p>
            <w:pPr>
              <w:pStyle w:val="13"/>
            </w:pPr>
            <w:r>
              <w:t>依据合同及发票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易择网开通成本</w:t>
            </w:r>
          </w:p>
        </w:tc>
        <w:tc>
          <w:tcPr>
            <w:tcW w:w="5386" w:type="dxa"/>
            <w:vAlign w:val="center"/>
          </w:tcPr>
          <w:p>
            <w:pPr>
              <w:pStyle w:val="13"/>
            </w:pPr>
            <w:r>
              <w:t>开通慧讯网询价系统所支付的费用</w:t>
            </w:r>
          </w:p>
        </w:tc>
        <w:tc>
          <w:tcPr>
            <w:tcW w:w="2268" w:type="dxa"/>
            <w:vAlign w:val="center"/>
          </w:tcPr>
          <w:p>
            <w:pPr>
              <w:pStyle w:val="13"/>
            </w:pPr>
            <w:r>
              <w:t>≤0.85万元</w:t>
            </w:r>
          </w:p>
        </w:tc>
        <w:tc>
          <w:tcPr>
            <w:tcW w:w="1276" w:type="dxa"/>
            <w:vAlign w:val="center"/>
          </w:tcPr>
          <w:p>
            <w:pPr>
              <w:pStyle w:val="13"/>
            </w:pPr>
            <w:r>
              <w:t>依据合同及发票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保障软件使用时间</w:t>
            </w:r>
          </w:p>
        </w:tc>
        <w:tc>
          <w:tcPr>
            <w:tcW w:w="5386" w:type="dxa"/>
            <w:vAlign w:val="center"/>
          </w:tcPr>
          <w:p>
            <w:pPr>
              <w:pStyle w:val="13"/>
            </w:pPr>
            <w:r>
              <w:t>软件使用时间</w:t>
            </w:r>
          </w:p>
        </w:tc>
        <w:tc>
          <w:tcPr>
            <w:tcW w:w="2268" w:type="dxa"/>
            <w:vAlign w:val="center"/>
          </w:tcPr>
          <w:p>
            <w:pPr>
              <w:pStyle w:val="13"/>
            </w:pPr>
            <w:r>
              <w:t>1年</w:t>
            </w:r>
          </w:p>
        </w:tc>
        <w:tc>
          <w:tcPr>
            <w:tcW w:w="1276" w:type="dxa"/>
            <w:vAlign w:val="center"/>
          </w:tcPr>
          <w:p>
            <w:pPr>
              <w:pStyle w:val="13"/>
            </w:pPr>
            <w:r>
              <w:t>依据服务协议</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提高工作效率</w:t>
            </w:r>
          </w:p>
        </w:tc>
        <w:tc>
          <w:tcPr>
            <w:tcW w:w="5386" w:type="dxa"/>
            <w:vAlign w:val="center"/>
          </w:tcPr>
          <w:p>
            <w:pPr>
              <w:pStyle w:val="13"/>
            </w:pPr>
            <w:r>
              <w:t>通过造价软件和询价系统的应用，保障评审工作顺利开展，评审结果准确、公正、客观。</w:t>
            </w:r>
          </w:p>
        </w:tc>
        <w:tc>
          <w:tcPr>
            <w:tcW w:w="2268" w:type="dxa"/>
            <w:vAlign w:val="center"/>
          </w:tcPr>
          <w:p>
            <w:pPr>
              <w:pStyle w:val="13"/>
            </w:pPr>
            <w:r>
              <w:t>比上年有所提高</w:t>
            </w:r>
          </w:p>
        </w:tc>
        <w:tc>
          <w:tcPr>
            <w:tcW w:w="1276" w:type="dxa"/>
            <w:vAlign w:val="center"/>
          </w:tcPr>
          <w:p>
            <w:pPr>
              <w:pStyle w:val="13"/>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使用人员满意度</w:t>
            </w:r>
          </w:p>
        </w:tc>
        <w:tc>
          <w:tcPr>
            <w:tcW w:w="5386" w:type="dxa"/>
            <w:vAlign w:val="center"/>
          </w:tcPr>
          <w:p>
            <w:pPr>
              <w:pStyle w:val="13"/>
            </w:pPr>
            <w:r>
              <w:t>使用人员满意率调查情况</w:t>
            </w:r>
          </w:p>
        </w:tc>
        <w:tc>
          <w:tcPr>
            <w:tcW w:w="2268" w:type="dxa"/>
            <w:vAlign w:val="center"/>
          </w:tcPr>
          <w:p>
            <w:pPr>
              <w:pStyle w:val="13"/>
            </w:pPr>
            <w:r>
              <w:t>≥95%</w:t>
            </w:r>
          </w:p>
        </w:tc>
        <w:tc>
          <w:tcPr>
            <w:tcW w:w="1276" w:type="dxa"/>
            <w:vAlign w:val="center"/>
          </w:tcPr>
          <w:p>
            <w:pPr>
              <w:pStyle w:val="13"/>
            </w:pPr>
            <w:r>
              <w:t>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4、驻场人员专项办公费绩效目标表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13031125P00013510281Y</w:t>
            </w:r>
          </w:p>
        </w:tc>
        <w:tc>
          <w:tcPr>
            <w:tcW w:w="2835" w:type="dxa"/>
            <w:vAlign w:val="center"/>
          </w:tcPr>
          <w:p>
            <w:pPr>
              <w:pStyle w:val="11"/>
            </w:pPr>
            <w:r>
              <w:t>项目名称</w:t>
            </w:r>
          </w:p>
        </w:tc>
        <w:tc>
          <w:tcPr>
            <w:tcW w:w="6095" w:type="dxa"/>
            <w:gridSpan w:val="3"/>
            <w:vAlign w:val="center"/>
          </w:tcPr>
          <w:p>
            <w:pPr>
              <w:pStyle w:val="13"/>
            </w:pPr>
            <w:r>
              <w:t>驻场人员专项办公费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用于支付主场复核人员办公费及清偿往年部分办公费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1.通过偿还所欠办公费用，保障供应商的合法利益</w:t>
            </w:r>
            <w:r>
              <w:tab/>
            </w:r>
          </w:p>
          <w:p>
            <w:pPr>
              <w:pStyle w:val="13"/>
            </w:pPr>
            <w:r>
              <w:t>2.通过采购≥10项种类的办公用品，满足8名驻场复核人员办公需求，以提高工作效率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采购种类数量</w:t>
            </w:r>
          </w:p>
        </w:tc>
        <w:tc>
          <w:tcPr>
            <w:tcW w:w="5386" w:type="dxa"/>
            <w:vAlign w:val="center"/>
          </w:tcPr>
          <w:p>
            <w:pPr>
              <w:pStyle w:val="13"/>
            </w:pPr>
            <w:r>
              <w:t>采购办公用品需要种类数量</w:t>
            </w:r>
          </w:p>
        </w:tc>
        <w:tc>
          <w:tcPr>
            <w:tcW w:w="2268" w:type="dxa"/>
            <w:vAlign w:val="center"/>
          </w:tcPr>
          <w:p>
            <w:pPr>
              <w:pStyle w:val="13"/>
            </w:pPr>
            <w:r>
              <w:t>≥10项</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采购合格率</w:t>
            </w:r>
          </w:p>
        </w:tc>
        <w:tc>
          <w:tcPr>
            <w:tcW w:w="5386" w:type="dxa"/>
            <w:vAlign w:val="center"/>
          </w:tcPr>
          <w:p>
            <w:pPr>
              <w:pStyle w:val="13"/>
            </w:pPr>
            <w:r>
              <w:t>采购合格数量占总数比例</w:t>
            </w:r>
          </w:p>
        </w:tc>
        <w:tc>
          <w:tcPr>
            <w:tcW w:w="2268" w:type="dxa"/>
            <w:vAlign w:val="center"/>
          </w:tcPr>
          <w:p>
            <w:pPr>
              <w:pStyle w:val="13"/>
            </w:pPr>
            <w:r>
              <w:t>≥98%</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费用支付及时率</w:t>
            </w:r>
          </w:p>
        </w:tc>
        <w:tc>
          <w:tcPr>
            <w:tcW w:w="5386" w:type="dxa"/>
            <w:vAlign w:val="center"/>
          </w:tcPr>
          <w:p>
            <w:pPr>
              <w:pStyle w:val="13"/>
            </w:pPr>
            <w:r>
              <w:t>按计划支付时间情况</w:t>
            </w:r>
          </w:p>
        </w:tc>
        <w:tc>
          <w:tcPr>
            <w:tcW w:w="2268" w:type="dxa"/>
            <w:vAlign w:val="center"/>
          </w:tcPr>
          <w:p>
            <w:pPr>
              <w:pStyle w:val="13"/>
            </w:pPr>
            <w:r>
              <w:t>≥90%</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办公费支出成本</w:t>
            </w:r>
          </w:p>
        </w:tc>
        <w:tc>
          <w:tcPr>
            <w:tcW w:w="5386" w:type="dxa"/>
            <w:vAlign w:val="center"/>
          </w:tcPr>
          <w:p>
            <w:pPr>
              <w:pStyle w:val="13"/>
            </w:pPr>
            <w:r>
              <w:t>偿还往年所欠办公费用成本或新购置的办公用品费用</w:t>
            </w:r>
          </w:p>
        </w:tc>
        <w:tc>
          <w:tcPr>
            <w:tcW w:w="2268" w:type="dxa"/>
            <w:vAlign w:val="center"/>
          </w:tcPr>
          <w:p>
            <w:pPr>
              <w:pStyle w:val="13"/>
            </w:pPr>
            <w:r>
              <w:t>≤2万元</w:t>
            </w:r>
          </w:p>
        </w:tc>
        <w:tc>
          <w:tcPr>
            <w:tcW w:w="1276" w:type="dxa"/>
            <w:vAlign w:val="center"/>
          </w:tcPr>
          <w:p>
            <w:pPr>
              <w:pStyle w:val="13"/>
            </w:pPr>
            <w:r>
              <w:t>根据供应商已开具发票金额确定</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驻场人员正常办公率</w:t>
            </w:r>
          </w:p>
        </w:tc>
        <w:tc>
          <w:tcPr>
            <w:tcW w:w="5386" w:type="dxa"/>
            <w:vAlign w:val="center"/>
          </w:tcPr>
          <w:p>
            <w:pPr>
              <w:pStyle w:val="13"/>
            </w:pPr>
            <w:r>
              <w:t>保障驻场复核人员正常、连续、及时开展工作</w:t>
            </w:r>
          </w:p>
        </w:tc>
        <w:tc>
          <w:tcPr>
            <w:tcW w:w="2268" w:type="dxa"/>
            <w:vAlign w:val="center"/>
          </w:tcPr>
          <w:p>
            <w:pPr>
              <w:pStyle w:val="13"/>
            </w:pPr>
            <w:r>
              <w:t>≥95%</w:t>
            </w:r>
          </w:p>
        </w:tc>
        <w:tc>
          <w:tcPr>
            <w:tcW w:w="1276" w:type="dxa"/>
            <w:vAlign w:val="center"/>
          </w:tcPr>
          <w:p>
            <w:pPr>
              <w:pStyle w:val="13"/>
            </w:pPr>
            <w:r>
              <w:t>年初工作计划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驻场人员满意度</w:t>
            </w:r>
          </w:p>
        </w:tc>
        <w:tc>
          <w:tcPr>
            <w:tcW w:w="5386" w:type="dxa"/>
            <w:vAlign w:val="center"/>
          </w:tcPr>
          <w:p>
            <w:pPr>
              <w:pStyle w:val="13"/>
            </w:pPr>
            <w:r>
              <w:t>驻场人员满意度</w:t>
            </w:r>
          </w:p>
        </w:tc>
        <w:tc>
          <w:tcPr>
            <w:tcW w:w="2268" w:type="dxa"/>
            <w:vAlign w:val="center"/>
          </w:tcPr>
          <w:p>
            <w:pPr>
              <w:pStyle w:val="13"/>
            </w:pPr>
            <w:r>
              <w:t>≥98%</w:t>
            </w:r>
          </w:p>
        </w:tc>
        <w:tc>
          <w:tcPr>
            <w:tcW w:w="1276" w:type="dxa"/>
            <w:vAlign w:val="center"/>
          </w:tcPr>
          <w:p>
            <w:pPr>
              <w:pStyle w:val="13"/>
            </w:pPr>
            <w:r>
              <w:t>调查结果</w:t>
            </w:r>
          </w:p>
          <w:p>
            <w:pPr>
              <w:pStyle w:val="13"/>
            </w:pP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280.00</w:t>
            </w:r>
          </w:p>
        </w:tc>
        <w:tc>
          <w:tcPr>
            <w:tcW w:w="964" w:type="dxa"/>
            <w:vAlign w:val="center"/>
          </w:tcPr>
          <w:p>
            <w:pPr>
              <w:pStyle w:val="16"/>
            </w:pPr>
            <w:r>
              <w:t>280.00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秦皇岛经济技术开发区建设项目评审中心(本级)小计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280.00</w:t>
            </w:r>
          </w:p>
        </w:tc>
        <w:tc>
          <w:tcPr>
            <w:tcW w:w="964" w:type="dxa"/>
            <w:vAlign w:val="center"/>
          </w:tcPr>
          <w:p>
            <w:pPr>
              <w:pStyle w:val="16"/>
            </w:pPr>
            <w:r>
              <w:t>280.00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评审项目复核服务费</w:t>
            </w:r>
          </w:p>
        </w:tc>
        <w:tc>
          <w:tcPr>
            <w:tcW w:w="964" w:type="dxa"/>
            <w:vAlign w:val="center"/>
          </w:tcPr>
          <w:p>
            <w:pPr>
              <w:pStyle w:val="12"/>
            </w:pPr>
            <w:r>
              <w:t>100.00</w:t>
            </w:r>
          </w:p>
        </w:tc>
        <w:tc>
          <w:tcPr>
            <w:tcW w:w="1134" w:type="dxa"/>
            <w:vAlign w:val="center"/>
          </w:tcPr>
          <w:p>
            <w:pPr>
              <w:pStyle w:val="13"/>
            </w:pPr>
            <w:r>
              <w:t>其他咨询服务</w:t>
            </w:r>
          </w:p>
        </w:tc>
        <w:tc>
          <w:tcPr>
            <w:tcW w:w="1134" w:type="dxa"/>
            <w:vAlign w:val="center"/>
          </w:tcPr>
          <w:p>
            <w:pPr>
              <w:pStyle w:val="13"/>
            </w:pPr>
            <w:r>
              <w:t>C20039900</w:t>
            </w:r>
          </w:p>
        </w:tc>
        <w:tc>
          <w:tcPr>
            <w:tcW w:w="709" w:type="dxa"/>
            <w:vAlign w:val="center"/>
          </w:tcPr>
          <w:p>
            <w:pPr>
              <w:pStyle w:val="14"/>
            </w:pPr>
            <w:r>
              <w:t>项目</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评审业务服务费</w:t>
            </w:r>
          </w:p>
        </w:tc>
        <w:tc>
          <w:tcPr>
            <w:tcW w:w="964" w:type="dxa"/>
            <w:vAlign w:val="center"/>
          </w:tcPr>
          <w:p>
            <w:pPr>
              <w:pStyle w:val="12"/>
            </w:pPr>
            <w:r>
              <w:t>180.00</w:t>
            </w:r>
          </w:p>
        </w:tc>
        <w:tc>
          <w:tcPr>
            <w:tcW w:w="1134" w:type="dxa"/>
            <w:vAlign w:val="center"/>
          </w:tcPr>
          <w:p>
            <w:pPr>
              <w:pStyle w:val="13"/>
            </w:pPr>
            <w:r>
              <w:t>评审咨询服务</w:t>
            </w:r>
          </w:p>
        </w:tc>
        <w:tc>
          <w:tcPr>
            <w:tcW w:w="1134" w:type="dxa"/>
            <w:vAlign w:val="center"/>
          </w:tcPr>
          <w:p>
            <w:pPr>
              <w:pStyle w:val="13"/>
            </w:pPr>
            <w:r>
              <w:t>C20030900</w:t>
            </w:r>
          </w:p>
        </w:tc>
        <w:tc>
          <w:tcPr>
            <w:tcW w:w="709" w:type="dxa"/>
            <w:vAlign w:val="center"/>
          </w:tcPr>
          <w:p>
            <w:pPr>
              <w:pStyle w:val="14"/>
            </w:pPr>
            <w:r>
              <w:t>项目</w:t>
            </w:r>
          </w:p>
        </w:tc>
        <w:tc>
          <w:tcPr>
            <w:tcW w:w="850" w:type="dxa"/>
            <w:vAlign w:val="center"/>
          </w:tcPr>
          <w:p>
            <w:pPr>
              <w:pStyle w:val="12"/>
            </w:pPr>
            <w:r>
              <w:t>1</w:t>
            </w:r>
          </w:p>
        </w:tc>
        <w:tc>
          <w:tcPr>
            <w:tcW w:w="850" w:type="dxa"/>
            <w:vAlign w:val="center"/>
          </w:tcPr>
          <w:p>
            <w:pPr>
              <w:pStyle w:val="12"/>
            </w:pPr>
            <w:r>
              <w:t>180.00</w:t>
            </w:r>
          </w:p>
        </w:tc>
        <w:tc>
          <w:tcPr>
            <w:tcW w:w="964" w:type="dxa"/>
            <w:vAlign w:val="center"/>
          </w:tcPr>
          <w:p>
            <w:pPr>
              <w:pStyle w:val="12"/>
            </w:pPr>
            <w:r>
              <w:t>180.00</w:t>
            </w:r>
          </w:p>
        </w:tc>
        <w:tc>
          <w:tcPr>
            <w:tcW w:w="964" w:type="dxa"/>
            <w:vAlign w:val="center"/>
          </w:tcPr>
          <w:p>
            <w:pPr>
              <w:pStyle w:val="12"/>
            </w:pPr>
            <w:r>
              <w:t>180.00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秦皇岛经济技术开发区建设项目评审中心（含所属单位）上年末固定资产金额为0.00万元（详见下表）。本年度拟购置固定资产总额为0.00万元，已按要求列入政府采购预算，详见政府采购预算表。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484秦皇岛经济技术开发区建设项目评审中心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326A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TotalTime>0</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2025-03-18T12:02:00Z</dcterms:created>
  <dc:creator>Administrator</dc:creator>
  <cp:lastModifiedBy>guest</cp:lastModifiedBy>
  <dcterms:modified xsi:type="dcterms:W3CDTF">2025-03-18T04:06:27Z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