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Times New Roman" w:hAnsi="Times New Roman" w:eastAsia="仿宋_GB2312" w:cs="Times New Roman"/>
          <w:color w:val="auto"/>
          <w:sz w:val="36"/>
          <w:szCs w:val="36"/>
          <w:highlight w:val="none"/>
        </w:rPr>
      </w:pPr>
    </w:p>
    <w:p>
      <w:pPr>
        <w:ind w:left="0" w:leftChars="0" w:firstLine="0" w:firstLineChars="0"/>
        <w:rPr>
          <w:rFonts w:hint="default" w:ascii="Times New Roman" w:hAnsi="Times New Roman" w:eastAsia="仿宋_GB2312" w:cs="Times New Roman"/>
          <w:color w:val="auto"/>
          <w:sz w:val="36"/>
          <w:szCs w:val="36"/>
          <w:highlight w:val="none"/>
        </w:rPr>
      </w:pPr>
    </w:p>
    <w:p>
      <w:pPr>
        <w:rPr>
          <w:rFonts w:hint="default" w:ascii="Times New Roman" w:hAnsi="Times New Roman" w:eastAsia="仿宋_GB2312" w:cs="Times New Roman"/>
          <w:color w:val="auto"/>
          <w:sz w:val="36"/>
          <w:szCs w:val="36"/>
          <w:highlight w:val="none"/>
        </w:rPr>
      </w:pPr>
    </w:p>
    <w:p>
      <w:pPr>
        <w:adjustRightInd w:val="0"/>
        <w:snapToGrid w:val="0"/>
        <w:ind w:left="0" w:leftChars="0" w:firstLine="0" w:firstLineChars="0"/>
        <w:jc w:val="center"/>
        <w:outlineLvl w:val="0"/>
        <w:rPr>
          <w:rFonts w:hint="default" w:ascii="Times New Roman" w:hAnsi="Times New Roman" w:eastAsia="方正小标宋_GBK" w:cs="Times New Roman"/>
          <w:bCs/>
          <w:color w:val="auto"/>
          <w:sz w:val="72"/>
          <w:szCs w:val="72"/>
          <w:highlight w:val="none"/>
        </w:rPr>
      </w:pPr>
      <w:r>
        <w:rPr>
          <w:rFonts w:hint="default" w:ascii="Times New Roman" w:hAnsi="Times New Roman" w:eastAsia="方正小标宋_GBK" w:cs="Times New Roman"/>
          <w:bCs/>
          <w:color w:val="auto"/>
          <w:sz w:val="72"/>
          <w:szCs w:val="72"/>
          <w:highlight w:val="none"/>
        </w:rPr>
        <w:t>建设项目环境影响报告表</w:t>
      </w:r>
    </w:p>
    <w:p>
      <w:pPr>
        <w:adjustRightInd w:val="0"/>
        <w:snapToGrid w:val="0"/>
        <w:spacing w:beforeLines="80"/>
        <w:jc w:val="center"/>
        <w:rPr>
          <w:rFonts w:hint="default" w:ascii="Times New Roman" w:hAnsi="Times New Roman" w:eastAsia="楷体_GB2312" w:cs="Times New Roman"/>
          <w:bCs/>
          <w:color w:val="auto"/>
          <w:sz w:val="44"/>
          <w:szCs w:val="44"/>
          <w:highlight w:val="none"/>
        </w:rPr>
      </w:pPr>
      <w:r>
        <w:rPr>
          <w:rFonts w:hint="default" w:ascii="Times New Roman" w:hAnsi="Times New Roman" w:eastAsia="楷体_GB2312" w:cs="Times New Roman"/>
          <w:bCs/>
          <w:color w:val="auto"/>
          <w:sz w:val="44"/>
          <w:szCs w:val="44"/>
          <w:highlight w:val="none"/>
        </w:rPr>
        <w:t>（污染影响类）</w:t>
      </w:r>
    </w:p>
    <w:p>
      <w:pPr>
        <w:adjustRightInd w:val="0"/>
        <w:snapToGrid w:val="0"/>
        <w:ind w:firstLine="960" w:firstLineChars="300"/>
        <w:jc w:val="both"/>
        <w:rPr>
          <w:rFonts w:hint="default" w:ascii="Times New Roman" w:hAnsi="Times New Roman" w:eastAsia="仿宋_GB2312" w:cs="Times New Roman"/>
          <w:color w:val="auto"/>
          <w:sz w:val="32"/>
          <w:szCs w:val="32"/>
          <w:highlight w:val="none"/>
        </w:rPr>
      </w:pPr>
    </w:p>
    <w:p>
      <w:pPr>
        <w:adjustRightInd w:val="0"/>
        <w:snapToGrid w:val="0"/>
        <w:ind w:firstLine="960" w:firstLineChars="300"/>
        <w:jc w:val="both"/>
        <w:rPr>
          <w:rFonts w:hint="default" w:ascii="Times New Roman" w:hAnsi="Times New Roman" w:eastAsia="仿宋_GB2312" w:cs="Times New Roman"/>
          <w:color w:val="auto"/>
          <w:sz w:val="32"/>
          <w:szCs w:val="32"/>
          <w:highlight w:val="none"/>
        </w:rPr>
      </w:pPr>
    </w:p>
    <w:p>
      <w:pPr>
        <w:adjustRightInd w:val="0"/>
        <w:snapToGrid w:val="0"/>
        <w:ind w:firstLine="960" w:firstLineChars="300"/>
        <w:jc w:val="both"/>
        <w:rPr>
          <w:rFonts w:hint="default" w:ascii="Times New Roman" w:hAnsi="Times New Roman" w:eastAsia="仿宋_GB2312" w:cs="Times New Roman"/>
          <w:color w:val="auto"/>
          <w:sz w:val="32"/>
          <w:szCs w:val="32"/>
          <w:highlight w:val="none"/>
        </w:rPr>
      </w:pPr>
    </w:p>
    <w:p>
      <w:pPr>
        <w:adjustRightInd w:val="0"/>
        <w:snapToGrid w:val="0"/>
        <w:ind w:firstLine="960" w:firstLineChars="300"/>
        <w:jc w:val="both"/>
        <w:rPr>
          <w:rFonts w:hint="default" w:ascii="Times New Roman" w:hAnsi="Times New Roman" w:eastAsia="仿宋_GB2312" w:cs="Times New Roman"/>
          <w:color w:val="auto"/>
          <w:sz w:val="32"/>
          <w:szCs w:val="32"/>
          <w:highlight w:val="none"/>
        </w:rPr>
      </w:pPr>
    </w:p>
    <w:p>
      <w:pPr>
        <w:keepNext w:val="0"/>
        <w:keepLines w:val="0"/>
        <w:pageBreakBefore w:val="0"/>
        <w:widowControl w:val="0"/>
        <w:kinsoku/>
        <w:wordWrap/>
        <w:overflowPunct/>
        <w:topLinePunct w:val="0"/>
        <w:autoSpaceDE/>
        <w:autoSpaceDN/>
        <w:bidi w:val="0"/>
        <w:adjustRightInd w:val="0"/>
        <w:snapToGrid w:val="0"/>
        <w:ind w:left="3838" w:leftChars="399" w:hanging="2880" w:hangingChars="900"/>
        <w:jc w:val="left"/>
        <w:textAlignment w:val="auto"/>
        <w:rPr>
          <w:rFonts w:hint="default" w:ascii="Times New Roman" w:hAnsi="Times New Roman" w:eastAsia="仿宋_GB2312" w:cs="Times New Roman"/>
          <w:color w:val="auto"/>
          <w:sz w:val="32"/>
          <w:szCs w:val="32"/>
          <w:highlight w:val="none"/>
          <w:u w:val="single"/>
          <w:lang w:val="en-US" w:eastAsia="zh-CN"/>
        </w:rPr>
      </w:pPr>
      <w:r>
        <w:rPr>
          <w:rFonts w:hint="default" w:ascii="Times New Roman" w:hAnsi="Times New Roman" w:eastAsia="仿宋_GB2312" w:cs="Times New Roman"/>
          <w:color w:val="auto"/>
          <w:sz w:val="32"/>
          <w:szCs w:val="32"/>
          <w:highlight w:val="none"/>
        </w:rPr>
        <w:t>项   目  名  称</w:t>
      </w:r>
      <w:r>
        <w:rPr>
          <w:rFonts w:hint="eastAsia" w:eastAsia="仿宋_GB2312" w:cs="Times New Roman"/>
          <w:color w:val="auto"/>
          <w:sz w:val="32"/>
          <w:szCs w:val="32"/>
          <w:highlight w:val="none"/>
          <w:lang w:val="en-US" w:eastAsia="zh-CN"/>
        </w:rPr>
        <w:t xml:space="preserve"> </w:t>
      </w:r>
      <w:r>
        <w:rPr>
          <w:rFonts w:hint="default" w:ascii="Times New Roman" w:hAnsi="Times New Roman" w:eastAsia="仿宋_GB2312" w:cs="Times New Roman"/>
          <w:color w:val="auto"/>
          <w:sz w:val="32"/>
          <w:szCs w:val="32"/>
          <w:highlight w:val="none"/>
        </w:rPr>
        <w:t>：</w:t>
      </w:r>
      <w:r>
        <w:rPr>
          <w:rFonts w:hint="eastAsia" w:eastAsia="仿宋_GB2312" w:cs="Times New Roman"/>
          <w:color w:val="auto"/>
          <w:sz w:val="32"/>
          <w:szCs w:val="32"/>
          <w:highlight w:val="none"/>
          <w:u w:val="single"/>
          <w:lang w:val="en-US" w:eastAsia="zh-CN"/>
        </w:rPr>
        <w:t xml:space="preserve">钢板、轮毂及铝制品加工生产项目                         </w:t>
      </w:r>
    </w:p>
    <w:p>
      <w:pPr>
        <w:adjustRightInd w:val="0"/>
        <w:snapToGrid w:val="0"/>
        <w:ind w:firstLine="960" w:firstLineChars="300"/>
        <w:jc w:val="both"/>
        <w:rPr>
          <w:rFonts w:hint="default" w:ascii="Times New Roman" w:hAnsi="Times New Roman" w:eastAsia="仿宋" w:cs="Times New Roman"/>
          <w:color w:val="auto"/>
          <w:sz w:val="32"/>
          <w:szCs w:val="32"/>
          <w:highlight w:val="none"/>
          <w:u w:val="single"/>
          <w:lang w:val="en-US" w:eastAsia="zh-CN"/>
        </w:rPr>
      </w:pPr>
      <w:r>
        <w:rPr>
          <w:rFonts w:hint="default" w:ascii="Times New Roman" w:hAnsi="Times New Roman" w:eastAsia="仿宋_GB2312" w:cs="Times New Roman"/>
          <w:color w:val="auto"/>
          <w:sz w:val="32"/>
          <w:szCs w:val="32"/>
          <w:highlight w:val="none"/>
        </w:rPr>
        <w:t>建设单位（盖章）：</w:t>
      </w:r>
      <w:r>
        <w:rPr>
          <w:rFonts w:hint="eastAsia" w:eastAsia="仿宋_GB2312" w:cs="Times New Roman"/>
          <w:color w:val="auto"/>
          <w:sz w:val="32"/>
          <w:szCs w:val="32"/>
          <w:highlight w:val="none"/>
          <w:u w:val="single"/>
          <w:lang w:eastAsia="zh-CN"/>
        </w:rPr>
        <w:t>秦皇岛开发区隆兴工贸有限公司</w:t>
      </w:r>
      <w:r>
        <w:rPr>
          <w:rFonts w:hint="eastAsia" w:eastAsia="仿宋_GB2312" w:cs="Times New Roman"/>
          <w:color w:val="auto"/>
          <w:sz w:val="32"/>
          <w:szCs w:val="32"/>
          <w:highlight w:val="none"/>
          <w:u w:val="single"/>
          <w:lang w:val="en-US" w:eastAsia="zh-CN"/>
        </w:rPr>
        <w:t xml:space="preserve">     </w:t>
      </w:r>
    </w:p>
    <w:p>
      <w:pPr>
        <w:adjustRightInd w:val="0"/>
        <w:snapToGrid w:val="0"/>
        <w:ind w:firstLine="960" w:firstLineChars="300"/>
        <w:jc w:val="both"/>
        <w:rPr>
          <w:rFonts w:hint="default" w:ascii="Times New Roman" w:hAnsi="Times New Roman" w:eastAsia="仿宋_GB2312" w:cs="Times New Roman"/>
          <w:color w:val="auto"/>
          <w:sz w:val="10"/>
          <w:szCs w:val="10"/>
          <w:highlight w:val="none"/>
          <w:u w:val="single"/>
        </w:rPr>
      </w:pPr>
      <w:r>
        <w:rPr>
          <w:rFonts w:hint="default" w:ascii="Times New Roman" w:hAnsi="Times New Roman" w:eastAsia="仿宋_GB2312" w:cs="Times New Roman"/>
          <w:color w:val="auto"/>
          <w:sz w:val="32"/>
          <w:szCs w:val="32"/>
          <w:highlight w:val="none"/>
        </w:rPr>
        <w:t>编   制  日  期 ：</w:t>
      </w:r>
      <w:r>
        <w:rPr>
          <w:rFonts w:hint="default" w:ascii="Times New Roman" w:hAnsi="Times New Roman" w:eastAsia="仿宋_GB2312" w:cs="Times New Roman"/>
          <w:color w:val="auto"/>
          <w:sz w:val="32"/>
          <w:szCs w:val="32"/>
          <w:highlight w:val="none"/>
          <w:u w:val="single"/>
        </w:rPr>
        <w:t>202</w:t>
      </w:r>
      <w:r>
        <w:rPr>
          <w:rFonts w:hint="eastAsia" w:eastAsia="仿宋_GB2312" w:cs="Times New Roman"/>
          <w:color w:val="auto"/>
          <w:sz w:val="32"/>
          <w:szCs w:val="32"/>
          <w:highlight w:val="none"/>
          <w:u w:val="single"/>
          <w:lang w:val="en-US" w:eastAsia="zh-CN"/>
        </w:rPr>
        <w:t>3</w:t>
      </w:r>
      <w:r>
        <w:rPr>
          <w:rFonts w:hint="default" w:ascii="Times New Roman" w:hAnsi="Times New Roman" w:eastAsia="仿宋_GB2312" w:cs="Times New Roman"/>
          <w:color w:val="auto"/>
          <w:sz w:val="32"/>
          <w:szCs w:val="32"/>
          <w:highlight w:val="none"/>
          <w:u w:val="single"/>
        </w:rPr>
        <w:t>年</w:t>
      </w:r>
      <w:r>
        <w:rPr>
          <w:rFonts w:hint="eastAsia" w:eastAsia="仿宋_GB2312" w:cs="Times New Roman"/>
          <w:color w:val="auto"/>
          <w:sz w:val="32"/>
          <w:szCs w:val="32"/>
          <w:highlight w:val="none"/>
          <w:u w:val="single"/>
          <w:lang w:val="en-US" w:eastAsia="zh-CN"/>
        </w:rPr>
        <w:t>8</w:t>
      </w:r>
      <w:r>
        <w:rPr>
          <w:rFonts w:hint="default" w:ascii="Times New Roman" w:hAnsi="Times New Roman" w:eastAsia="仿宋_GB2312" w:cs="Times New Roman"/>
          <w:color w:val="auto"/>
          <w:sz w:val="32"/>
          <w:szCs w:val="32"/>
          <w:highlight w:val="none"/>
          <w:u w:val="single"/>
        </w:rPr>
        <w:t xml:space="preserve">月   </w:t>
      </w:r>
      <w:r>
        <w:rPr>
          <w:rFonts w:hint="eastAsia" w:eastAsia="仿宋_GB2312" w:cs="Times New Roman"/>
          <w:color w:val="auto"/>
          <w:sz w:val="32"/>
          <w:szCs w:val="32"/>
          <w:highlight w:val="none"/>
          <w:u w:val="single"/>
          <w:lang w:val="en-US" w:eastAsia="zh-CN"/>
        </w:rPr>
        <w:t xml:space="preserve"> </w:t>
      </w:r>
      <w:r>
        <w:rPr>
          <w:rFonts w:hint="default" w:ascii="Times New Roman" w:hAnsi="Times New Roman" w:eastAsia="仿宋_GB2312" w:cs="Times New Roman"/>
          <w:color w:val="auto"/>
          <w:sz w:val="32"/>
          <w:szCs w:val="32"/>
          <w:highlight w:val="none"/>
          <w:u w:val="single"/>
        </w:rPr>
        <w:t xml:space="preserve"> </w:t>
      </w:r>
      <w:r>
        <w:rPr>
          <w:rFonts w:hint="eastAsia" w:eastAsia="仿宋_GB2312" w:cs="Times New Roman"/>
          <w:color w:val="auto"/>
          <w:sz w:val="32"/>
          <w:szCs w:val="32"/>
          <w:highlight w:val="none"/>
          <w:u w:val="single"/>
          <w:lang w:val="en-US" w:eastAsia="zh-CN"/>
        </w:rPr>
        <w:t xml:space="preserve">             </w:t>
      </w:r>
      <w:r>
        <w:rPr>
          <w:rFonts w:hint="default" w:ascii="Times New Roman" w:hAnsi="Times New Roman" w:eastAsia="仿宋_GB2312" w:cs="Times New Roman"/>
          <w:color w:val="auto"/>
          <w:sz w:val="32"/>
          <w:szCs w:val="32"/>
          <w:highlight w:val="none"/>
          <w:u w:val="single"/>
        </w:rPr>
        <w:t xml:space="preserve">      </w:t>
      </w:r>
    </w:p>
    <w:p>
      <w:pPr>
        <w:adjustRightInd w:val="0"/>
        <w:snapToGrid w:val="0"/>
        <w:spacing w:line="240" w:lineRule="auto"/>
        <w:jc w:val="center"/>
        <w:rPr>
          <w:rFonts w:hint="default" w:ascii="Times New Roman" w:hAnsi="Times New Roman" w:eastAsia="楷体_GB2312" w:cs="Times New Roman"/>
          <w:color w:val="auto"/>
          <w:sz w:val="36"/>
          <w:szCs w:val="36"/>
          <w:highlight w:val="none"/>
        </w:rPr>
      </w:pPr>
    </w:p>
    <w:p>
      <w:pPr>
        <w:adjustRightInd w:val="0"/>
        <w:snapToGrid w:val="0"/>
        <w:spacing w:line="240" w:lineRule="auto"/>
        <w:jc w:val="center"/>
        <w:rPr>
          <w:rFonts w:hint="default" w:ascii="Times New Roman" w:hAnsi="Times New Roman" w:eastAsia="楷体_GB2312" w:cs="Times New Roman"/>
          <w:color w:val="auto"/>
          <w:sz w:val="36"/>
          <w:szCs w:val="36"/>
          <w:highlight w:val="none"/>
        </w:rPr>
      </w:pPr>
    </w:p>
    <w:p>
      <w:pPr>
        <w:adjustRightInd w:val="0"/>
        <w:snapToGrid w:val="0"/>
        <w:spacing w:line="240" w:lineRule="auto"/>
        <w:jc w:val="center"/>
        <w:rPr>
          <w:rFonts w:hint="default" w:ascii="Times New Roman" w:hAnsi="Times New Roman" w:eastAsia="楷体_GB2312" w:cs="Times New Roman"/>
          <w:color w:val="auto"/>
          <w:sz w:val="36"/>
          <w:szCs w:val="36"/>
          <w:highlight w:val="none"/>
        </w:rPr>
      </w:pPr>
    </w:p>
    <w:p>
      <w:pPr>
        <w:adjustRightInd w:val="0"/>
        <w:snapToGrid w:val="0"/>
        <w:spacing w:line="240" w:lineRule="auto"/>
        <w:jc w:val="center"/>
        <w:rPr>
          <w:rFonts w:hint="default" w:ascii="Times New Roman" w:hAnsi="Times New Roman" w:eastAsia="楷体_GB2312" w:cs="Times New Roman"/>
          <w:color w:val="auto"/>
          <w:sz w:val="36"/>
          <w:szCs w:val="36"/>
          <w:highlight w:val="none"/>
        </w:rPr>
      </w:pPr>
    </w:p>
    <w:p>
      <w:pPr>
        <w:adjustRightInd w:val="0"/>
        <w:snapToGrid w:val="0"/>
        <w:spacing w:line="240" w:lineRule="auto"/>
        <w:jc w:val="center"/>
        <w:rPr>
          <w:rFonts w:hint="default" w:ascii="Times New Roman" w:hAnsi="Times New Roman" w:eastAsia="楷体_GB2312" w:cs="Times New Roman"/>
          <w:color w:val="auto"/>
          <w:sz w:val="36"/>
          <w:szCs w:val="36"/>
          <w:highlight w:val="none"/>
        </w:rPr>
      </w:pPr>
    </w:p>
    <w:p>
      <w:pPr>
        <w:adjustRightInd w:val="0"/>
        <w:snapToGrid w:val="0"/>
        <w:spacing w:line="240" w:lineRule="auto"/>
        <w:jc w:val="center"/>
        <w:rPr>
          <w:rFonts w:hint="default" w:ascii="Times New Roman" w:hAnsi="Times New Roman" w:eastAsia="楷体_GB2312" w:cs="Times New Roman"/>
          <w:color w:val="auto"/>
          <w:sz w:val="36"/>
          <w:szCs w:val="36"/>
          <w:highlight w:val="none"/>
        </w:rPr>
      </w:pPr>
    </w:p>
    <w:p>
      <w:pPr>
        <w:adjustRightInd w:val="0"/>
        <w:snapToGrid w:val="0"/>
        <w:spacing w:line="240" w:lineRule="auto"/>
        <w:jc w:val="center"/>
        <w:rPr>
          <w:rFonts w:hint="default" w:ascii="Times New Roman" w:hAnsi="Times New Roman" w:cs="Times New Roman"/>
          <w:color w:val="auto"/>
          <w:highlight w:val="none"/>
        </w:rPr>
      </w:pPr>
      <w:r>
        <w:rPr>
          <w:rFonts w:hint="default" w:ascii="Times New Roman" w:hAnsi="Times New Roman" w:eastAsia="楷体_GB2312" w:cs="Times New Roman"/>
          <w:color w:val="auto"/>
          <w:sz w:val="36"/>
          <w:szCs w:val="36"/>
          <w:highlight w:val="none"/>
        </w:rPr>
        <w:t>中华人民共和国生态环境部制</w:t>
      </w:r>
    </w:p>
    <w:p>
      <w:pPr>
        <w:adjustRightInd w:val="0"/>
        <w:snapToGrid w:val="0"/>
        <w:spacing w:before="192" w:beforeLines="80"/>
        <w:jc w:val="center"/>
        <w:rPr>
          <w:rFonts w:hint="eastAsia" w:ascii="Times New Roman" w:hAnsi="Times New Roman" w:eastAsia="楷体_GB2312" w:cs="Times New Roman"/>
          <w:bCs/>
          <w:color w:val="auto"/>
          <w:sz w:val="44"/>
          <w:szCs w:val="44"/>
          <w:highlight w:val="none"/>
        </w:rPr>
      </w:pPr>
    </w:p>
    <w:p>
      <w:pPr>
        <w:adjustRightInd w:val="0"/>
        <w:snapToGrid w:val="0"/>
        <w:spacing w:before="192" w:beforeLines="80"/>
        <w:jc w:val="center"/>
        <w:rPr>
          <w:rFonts w:hint="eastAsia" w:ascii="Times New Roman" w:hAnsi="Times New Roman" w:eastAsia="楷体_GB2312" w:cs="Times New Roman"/>
          <w:bCs/>
          <w:color w:val="auto"/>
          <w:sz w:val="44"/>
          <w:szCs w:val="44"/>
          <w:highlight w:val="none"/>
        </w:rPr>
      </w:pPr>
      <w:r>
        <w:rPr>
          <w:rFonts w:hint="eastAsia" w:ascii="Times New Roman" w:hAnsi="Times New Roman" w:eastAsia="楷体_GB2312" w:cs="Times New Roman"/>
          <w:bCs/>
          <w:color w:val="auto"/>
          <w:sz w:val="44"/>
          <w:szCs w:val="44"/>
          <w:highlight w:val="none"/>
        </w:rPr>
        <w:t>目录</w:t>
      </w:r>
    </w:p>
    <w:p>
      <w:pPr>
        <w:pStyle w:val="78"/>
        <w:tabs>
          <w:tab w:val="right" w:leader="dot" w:pos="8844"/>
        </w:tabs>
        <w:spacing w:line="480" w:lineRule="auto"/>
        <w:rPr>
          <w:rFonts w:hint="eastAsia" w:ascii="仿宋" w:hAnsi="仿宋" w:eastAsia="仿宋" w:cs="仿宋"/>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资质材料及其他声明</w:t>
      </w:r>
    </w:p>
    <w:p>
      <w:pPr>
        <w:pStyle w:val="78"/>
        <w:tabs>
          <w:tab w:val="right" w:leader="dot" w:pos="8844"/>
        </w:tabs>
        <w:spacing w:line="480" w:lineRule="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1、建设单位免责声明</w:t>
      </w:r>
    </w:p>
    <w:p>
      <w:pPr>
        <w:pStyle w:val="78"/>
        <w:tabs>
          <w:tab w:val="right" w:leader="dot" w:pos="8844"/>
        </w:tabs>
        <w:spacing w:line="480" w:lineRule="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2、编制单位和编制人员情况表</w:t>
      </w:r>
    </w:p>
    <w:p>
      <w:pPr>
        <w:pStyle w:val="78"/>
        <w:tabs>
          <w:tab w:val="right" w:leader="dot" w:pos="8844"/>
        </w:tabs>
        <w:spacing w:line="480" w:lineRule="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3、编制主持人职业资格证书和社保证明</w:t>
      </w:r>
    </w:p>
    <w:p>
      <w:pPr>
        <w:pStyle w:val="78"/>
        <w:tabs>
          <w:tab w:val="right" w:leader="dot" w:pos="8844"/>
        </w:tabs>
        <w:spacing w:line="480" w:lineRule="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4、编制情况承诺书</w:t>
      </w:r>
    </w:p>
    <w:p>
      <w:pPr>
        <w:pStyle w:val="78"/>
        <w:tabs>
          <w:tab w:val="right" w:leader="dot" w:pos="8844"/>
        </w:tabs>
        <w:spacing w:line="480" w:lineRule="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5、编制单位营业执照</w:t>
      </w:r>
    </w:p>
    <w:p>
      <w:pPr>
        <w:pStyle w:val="78"/>
        <w:tabs>
          <w:tab w:val="right" w:leader="dot" w:pos="8844"/>
        </w:tabs>
        <w:spacing w:line="480" w:lineRule="auto"/>
        <w:rPr>
          <w:rFonts w:hint="eastAsia" w:ascii="仿宋" w:hAnsi="仿宋" w:eastAsia="仿宋" w:cs="仿宋"/>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环评报告正文</w:t>
      </w:r>
    </w:p>
    <w:p>
      <w:pPr>
        <w:pStyle w:val="78"/>
        <w:tabs>
          <w:tab w:val="right" w:leader="dot" w:pos="8844"/>
        </w:tabs>
        <w:spacing w:line="480" w:lineRule="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8"/>
          <w:szCs w:val="28"/>
          <w:highlight w:val="none"/>
          <w:lang w:val="en-US" w:eastAsia="zh-CN"/>
        </w:rPr>
        <w:fldChar w:fldCharType="begin"/>
      </w:r>
      <w:r>
        <w:rPr>
          <w:rFonts w:hint="eastAsia" w:ascii="仿宋" w:hAnsi="仿宋" w:eastAsia="仿宋" w:cs="仿宋"/>
          <w:color w:val="auto"/>
          <w:sz w:val="28"/>
          <w:szCs w:val="28"/>
          <w:highlight w:val="none"/>
          <w:lang w:val="en-US" w:eastAsia="zh-CN"/>
        </w:rPr>
        <w:instrText xml:space="preserve">TOC \o "1-1" \h \u </w:instrText>
      </w:r>
      <w:r>
        <w:rPr>
          <w:rFonts w:hint="eastAsia" w:ascii="仿宋" w:hAnsi="仿宋" w:eastAsia="仿宋" w:cs="仿宋"/>
          <w:color w:val="auto"/>
          <w:sz w:val="28"/>
          <w:szCs w:val="28"/>
          <w:highlight w:val="none"/>
          <w:lang w:val="en-US" w:eastAsia="zh-CN"/>
        </w:rPr>
        <w:fldChar w:fldCharType="separate"/>
      </w:r>
      <w:r>
        <w:rPr>
          <w:rFonts w:hint="eastAsia" w:ascii="仿宋" w:hAnsi="仿宋" w:eastAsia="仿宋" w:cs="仿宋"/>
          <w:color w:val="auto"/>
          <w:sz w:val="24"/>
          <w:szCs w:val="24"/>
          <w:highlight w:val="none"/>
          <w:lang w:val="en-US" w:eastAsia="zh-CN"/>
        </w:rPr>
        <w:fldChar w:fldCharType="begin"/>
      </w:r>
      <w:r>
        <w:rPr>
          <w:rFonts w:hint="eastAsia" w:ascii="仿宋" w:hAnsi="仿宋" w:eastAsia="仿宋" w:cs="仿宋"/>
          <w:color w:val="auto"/>
          <w:sz w:val="24"/>
          <w:szCs w:val="24"/>
          <w:highlight w:val="none"/>
          <w:lang w:val="en-US" w:eastAsia="zh-CN"/>
        </w:rPr>
        <w:instrText xml:space="preserve"> HYPERLINK \l _Toc9528 </w:instrText>
      </w:r>
      <w:r>
        <w:rPr>
          <w:rFonts w:hint="eastAsia" w:ascii="仿宋" w:hAnsi="仿宋" w:eastAsia="仿宋" w:cs="仿宋"/>
          <w:color w:val="auto"/>
          <w:sz w:val="24"/>
          <w:szCs w:val="24"/>
          <w:highlight w:val="none"/>
          <w:lang w:val="en-US" w:eastAsia="zh-CN"/>
        </w:rPr>
        <w:fldChar w:fldCharType="separate"/>
      </w:r>
      <w:r>
        <w:rPr>
          <w:rFonts w:hint="eastAsia" w:ascii="仿宋" w:hAnsi="仿宋" w:eastAsia="仿宋" w:cs="仿宋"/>
          <w:color w:val="auto"/>
          <w:sz w:val="24"/>
          <w:szCs w:val="24"/>
          <w:highlight w:val="none"/>
          <w:lang w:val="en-US" w:eastAsia="zh-CN"/>
        </w:rPr>
        <w:t>一、建设项目基本情况</w:t>
      </w:r>
      <w:r>
        <w:rPr>
          <w:rFonts w:hint="eastAsia" w:ascii="仿宋" w:hAnsi="仿宋" w:eastAsia="仿宋" w:cs="仿宋"/>
          <w:color w:val="auto"/>
          <w:sz w:val="24"/>
          <w:szCs w:val="24"/>
          <w:highlight w:val="none"/>
          <w:lang w:val="en-US" w:eastAsia="zh-CN"/>
        </w:rPr>
        <w:tab/>
      </w:r>
      <w:r>
        <w:rPr>
          <w:rFonts w:hint="eastAsia" w:ascii="仿宋" w:hAnsi="仿宋" w:eastAsia="仿宋" w:cs="仿宋"/>
          <w:color w:val="auto"/>
          <w:sz w:val="24"/>
          <w:szCs w:val="24"/>
          <w:highlight w:val="none"/>
          <w:lang w:val="en-US" w:eastAsia="zh-CN"/>
        </w:rPr>
        <w:t>1</w:t>
      </w:r>
      <w:r>
        <w:rPr>
          <w:rFonts w:hint="eastAsia" w:ascii="仿宋" w:hAnsi="仿宋" w:eastAsia="仿宋" w:cs="仿宋"/>
          <w:color w:val="auto"/>
          <w:sz w:val="24"/>
          <w:szCs w:val="24"/>
          <w:highlight w:val="none"/>
          <w:lang w:val="en-US" w:eastAsia="zh-CN"/>
        </w:rPr>
        <w:fldChar w:fldCharType="end"/>
      </w:r>
    </w:p>
    <w:p>
      <w:pPr>
        <w:pStyle w:val="78"/>
        <w:tabs>
          <w:tab w:val="right" w:leader="dot" w:pos="8844"/>
        </w:tabs>
        <w:spacing w:line="480" w:lineRule="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fldChar w:fldCharType="begin"/>
      </w:r>
      <w:r>
        <w:rPr>
          <w:rFonts w:hint="eastAsia" w:ascii="仿宋" w:hAnsi="仿宋" w:eastAsia="仿宋" w:cs="仿宋"/>
          <w:color w:val="auto"/>
          <w:sz w:val="24"/>
          <w:szCs w:val="24"/>
          <w:highlight w:val="none"/>
          <w:lang w:val="en-US" w:eastAsia="zh-CN"/>
        </w:rPr>
        <w:instrText xml:space="preserve"> HYPERLINK \l _Toc12870 </w:instrText>
      </w:r>
      <w:r>
        <w:rPr>
          <w:rFonts w:hint="eastAsia" w:ascii="仿宋" w:hAnsi="仿宋" w:eastAsia="仿宋" w:cs="仿宋"/>
          <w:color w:val="auto"/>
          <w:sz w:val="24"/>
          <w:szCs w:val="24"/>
          <w:highlight w:val="none"/>
          <w:lang w:val="en-US" w:eastAsia="zh-CN"/>
        </w:rPr>
        <w:fldChar w:fldCharType="separate"/>
      </w:r>
      <w:r>
        <w:rPr>
          <w:rFonts w:hint="eastAsia" w:ascii="仿宋" w:hAnsi="仿宋" w:eastAsia="仿宋" w:cs="仿宋"/>
          <w:color w:val="auto"/>
          <w:sz w:val="24"/>
          <w:szCs w:val="24"/>
          <w:highlight w:val="none"/>
          <w:lang w:val="en-US" w:eastAsia="zh-CN"/>
        </w:rPr>
        <w:t>二、建设项目工程分析</w:t>
      </w:r>
      <w:r>
        <w:rPr>
          <w:rFonts w:hint="eastAsia" w:ascii="仿宋" w:hAnsi="仿宋" w:eastAsia="仿宋" w:cs="仿宋"/>
          <w:color w:val="auto"/>
          <w:sz w:val="24"/>
          <w:szCs w:val="24"/>
          <w:highlight w:val="none"/>
          <w:lang w:val="en-US" w:eastAsia="zh-CN"/>
        </w:rPr>
        <w:tab/>
      </w:r>
      <w:r>
        <w:rPr>
          <w:rFonts w:hint="eastAsia" w:ascii="仿宋" w:hAnsi="仿宋" w:eastAsia="仿宋" w:cs="仿宋"/>
          <w:color w:val="auto"/>
          <w:sz w:val="24"/>
          <w:szCs w:val="24"/>
          <w:highlight w:val="none"/>
          <w:lang w:val="en-US" w:eastAsia="zh-CN"/>
        </w:rPr>
        <w:t>12</w:t>
      </w:r>
      <w:r>
        <w:rPr>
          <w:rFonts w:hint="eastAsia" w:ascii="仿宋" w:hAnsi="仿宋" w:eastAsia="仿宋" w:cs="仿宋"/>
          <w:color w:val="auto"/>
          <w:sz w:val="24"/>
          <w:szCs w:val="24"/>
          <w:highlight w:val="none"/>
          <w:lang w:val="en-US" w:eastAsia="zh-CN"/>
        </w:rPr>
        <w:fldChar w:fldCharType="end"/>
      </w:r>
    </w:p>
    <w:p>
      <w:pPr>
        <w:pStyle w:val="78"/>
        <w:tabs>
          <w:tab w:val="right" w:leader="dot" w:pos="8844"/>
        </w:tabs>
        <w:spacing w:line="480" w:lineRule="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fldChar w:fldCharType="begin"/>
      </w:r>
      <w:r>
        <w:rPr>
          <w:rFonts w:hint="eastAsia" w:ascii="仿宋" w:hAnsi="仿宋" w:eastAsia="仿宋" w:cs="仿宋"/>
          <w:color w:val="auto"/>
          <w:sz w:val="24"/>
          <w:szCs w:val="24"/>
          <w:highlight w:val="none"/>
          <w:lang w:val="en-US" w:eastAsia="zh-CN"/>
        </w:rPr>
        <w:instrText xml:space="preserve"> HYPERLINK \l _Toc2477 </w:instrText>
      </w:r>
      <w:r>
        <w:rPr>
          <w:rFonts w:hint="eastAsia" w:ascii="仿宋" w:hAnsi="仿宋" w:eastAsia="仿宋" w:cs="仿宋"/>
          <w:color w:val="auto"/>
          <w:sz w:val="24"/>
          <w:szCs w:val="24"/>
          <w:highlight w:val="none"/>
          <w:lang w:val="en-US" w:eastAsia="zh-CN"/>
        </w:rPr>
        <w:fldChar w:fldCharType="separate"/>
      </w:r>
      <w:r>
        <w:rPr>
          <w:rFonts w:hint="eastAsia" w:ascii="仿宋" w:hAnsi="仿宋" w:eastAsia="仿宋" w:cs="仿宋"/>
          <w:color w:val="auto"/>
          <w:sz w:val="24"/>
          <w:szCs w:val="24"/>
          <w:highlight w:val="none"/>
          <w:lang w:val="en-US" w:eastAsia="zh-CN"/>
        </w:rPr>
        <w:t>三、区域环境质量现状、环境保护目标及评价标准</w:t>
      </w:r>
      <w:r>
        <w:rPr>
          <w:rFonts w:hint="eastAsia" w:ascii="仿宋" w:hAnsi="仿宋" w:eastAsia="仿宋" w:cs="仿宋"/>
          <w:color w:val="auto"/>
          <w:sz w:val="24"/>
          <w:szCs w:val="24"/>
          <w:highlight w:val="none"/>
          <w:lang w:val="en-US" w:eastAsia="zh-CN"/>
        </w:rPr>
        <w:tab/>
      </w:r>
      <w:r>
        <w:rPr>
          <w:rFonts w:hint="eastAsia" w:ascii="仿宋" w:hAnsi="仿宋" w:eastAsia="仿宋" w:cs="仿宋"/>
          <w:color w:val="auto"/>
          <w:sz w:val="24"/>
          <w:szCs w:val="24"/>
          <w:highlight w:val="none"/>
          <w:lang w:val="en-US" w:eastAsia="zh-CN"/>
        </w:rPr>
        <w:fldChar w:fldCharType="end"/>
      </w:r>
      <w:r>
        <w:rPr>
          <w:rFonts w:hint="eastAsia" w:ascii="仿宋" w:hAnsi="仿宋" w:eastAsia="仿宋" w:cs="仿宋"/>
          <w:color w:val="auto"/>
          <w:sz w:val="24"/>
          <w:szCs w:val="24"/>
          <w:highlight w:val="none"/>
          <w:lang w:val="en-US" w:eastAsia="zh-CN"/>
        </w:rPr>
        <w:t>21</w:t>
      </w:r>
    </w:p>
    <w:p>
      <w:pPr>
        <w:pStyle w:val="78"/>
        <w:tabs>
          <w:tab w:val="right" w:leader="dot" w:pos="8844"/>
        </w:tabs>
        <w:spacing w:line="480" w:lineRule="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fldChar w:fldCharType="begin"/>
      </w:r>
      <w:r>
        <w:rPr>
          <w:rFonts w:hint="eastAsia" w:ascii="仿宋" w:hAnsi="仿宋" w:eastAsia="仿宋" w:cs="仿宋"/>
          <w:color w:val="auto"/>
          <w:sz w:val="24"/>
          <w:szCs w:val="24"/>
          <w:highlight w:val="none"/>
          <w:lang w:val="en-US" w:eastAsia="zh-CN"/>
        </w:rPr>
        <w:instrText xml:space="preserve"> HYPERLINK \l _Toc6916 </w:instrText>
      </w:r>
      <w:r>
        <w:rPr>
          <w:rFonts w:hint="eastAsia" w:ascii="仿宋" w:hAnsi="仿宋" w:eastAsia="仿宋" w:cs="仿宋"/>
          <w:color w:val="auto"/>
          <w:sz w:val="24"/>
          <w:szCs w:val="24"/>
          <w:highlight w:val="none"/>
          <w:lang w:val="en-US" w:eastAsia="zh-CN"/>
        </w:rPr>
        <w:fldChar w:fldCharType="separate"/>
      </w:r>
      <w:r>
        <w:rPr>
          <w:rFonts w:hint="eastAsia" w:ascii="仿宋" w:hAnsi="仿宋" w:eastAsia="仿宋" w:cs="仿宋"/>
          <w:color w:val="auto"/>
          <w:sz w:val="24"/>
          <w:szCs w:val="24"/>
          <w:highlight w:val="none"/>
          <w:lang w:val="en-US" w:eastAsia="zh-CN"/>
        </w:rPr>
        <w:t>四、主要环境影响和保护措施</w:t>
      </w:r>
      <w:r>
        <w:rPr>
          <w:rFonts w:hint="eastAsia" w:ascii="仿宋" w:hAnsi="仿宋" w:eastAsia="仿宋" w:cs="仿宋"/>
          <w:color w:val="auto"/>
          <w:sz w:val="24"/>
          <w:szCs w:val="24"/>
          <w:highlight w:val="none"/>
          <w:lang w:val="en-US" w:eastAsia="zh-CN"/>
        </w:rPr>
        <w:tab/>
      </w:r>
      <w:r>
        <w:rPr>
          <w:rFonts w:hint="eastAsia" w:ascii="仿宋" w:hAnsi="仿宋" w:eastAsia="仿宋" w:cs="仿宋"/>
          <w:color w:val="auto"/>
          <w:sz w:val="24"/>
          <w:szCs w:val="24"/>
          <w:highlight w:val="none"/>
          <w:lang w:val="en-US" w:eastAsia="zh-CN"/>
        </w:rPr>
        <w:fldChar w:fldCharType="end"/>
      </w:r>
      <w:r>
        <w:rPr>
          <w:rFonts w:hint="eastAsia" w:ascii="仿宋" w:hAnsi="仿宋" w:eastAsia="仿宋" w:cs="仿宋"/>
          <w:color w:val="auto"/>
          <w:sz w:val="24"/>
          <w:szCs w:val="24"/>
          <w:highlight w:val="none"/>
          <w:lang w:val="en-US" w:eastAsia="zh-CN"/>
        </w:rPr>
        <w:t>23</w:t>
      </w:r>
    </w:p>
    <w:p>
      <w:pPr>
        <w:pStyle w:val="78"/>
        <w:tabs>
          <w:tab w:val="right" w:leader="dot" w:pos="8844"/>
        </w:tabs>
        <w:spacing w:line="480" w:lineRule="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fldChar w:fldCharType="begin"/>
      </w:r>
      <w:r>
        <w:rPr>
          <w:rFonts w:hint="eastAsia" w:ascii="仿宋" w:hAnsi="仿宋" w:eastAsia="仿宋" w:cs="仿宋"/>
          <w:color w:val="auto"/>
          <w:sz w:val="24"/>
          <w:szCs w:val="24"/>
          <w:highlight w:val="none"/>
          <w:lang w:val="en-US" w:eastAsia="zh-CN"/>
        </w:rPr>
        <w:instrText xml:space="preserve"> HYPERLINK \l _Toc3310 </w:instrText>
      </w:r>
      <w:r>
        <w:rPr>
          <w:rFonts w:hint="eastAsia" w:ascii="仿宋" w:hAnsi="仿宋" w:eastAsia="仿宋" w:cs="仿宋"/>
          <w:color w:val="auto"/>
          <w:sz w:val="24"/>
          <w:szCs w:val="24"/>
          <w:highlight w:val="none"/>
          <w:lang w:val="en-US" w:eastAsia="zh-CN"/>
        </w:rPr>
        <w:fldChar w:fldCharType="separate"/>
      </w:r>
      <w:r>
        <w:rPr>
          <w:rFonts w:hint="eastAsia" w:ascii="仿宋" w:hAnsi="仿宋" w:eastAsia="仿宋" w:cs="仿宋"/>
          <w:color w:val="auto"/>
          <w:sz w:val="24"/>
          <w:szCs w:val="24"/>
          <w:highlight w:val="none"/>
          <w:lang w:val="en-US" w:eastAsia="zh-CN"/>
        </w:rPr>
        <w:t>五、环境保护措施监督检查清单</w:t>
      </w:r>
      <w:r>
        <w:rPr>
          <w:rFonts w:hint="eastAsia" w:ascii="仿宋" w:hAnsi="仿宋" w:eastAsia="仿宋" w:cs="仿宋"/>
          <w:color w:val="auto"/>
          <w:sz w:val="24"/>
          <w:szCs w:val="24"/>
          <w:highlight w:val="none"/>
          <w:lang w:val="en-US" w:eastAsia="zh-CN"/>
        </w:rPr>
        <w:tab/>
      </w:r>
      <w:r>
        <w:rPr>
          <w:rFonts w:hint="eastAsia" w:ascii="仿宋" w:hAnsi="仿宋" w:eastAsia="仿宋" w:cs="仿宋"/>
          <w:color w:val="auto"/>
          <w:sz w:val="24"/>
          <w:szCs w:val="24"/>
          <w:highlight w:val="none"/>
          <w:lang w:val="en-US" w:eastAsia="zh-CN"/>
        </w:rPr>
        <w:fldChar w:fldCharType="end"/>
      </w:r>
      <w:r>
        <w:rPr>
          <w:rFonts w:hint="eastAsia" w:ascii="仿宋" w:hAnsi="仿宋" w:eastAsia="仿宋" w:cs="仿宋"/>
          <w:color w:val="auto"/>
          <w:sz w:val="24"/>
          <w:szCs w:val="24"/>
          <w:highlight w:val="none"/>
          <w:lang w:val="en-US" w:eastAsia="zh-CN"/>
        </w:rPr>
        <w:t>41</w:t>
      </w:r>
    </w:p>
    <w:p>
      <w:pPr>
        <w:pStyle w:val="78"/>
        <w:tabs>
          <w:tab w:val="right" w:leader="dot" w:pos="8844"/>
        </w:tabs>
        <w:spacing w:line="480" w:lineRule="auto"/>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4"/>
          <w:szCs w:val="24"/>
          <w:highlight w:val="none"/>
          <w:lang w:val="en-US" w:eastAsia="zh-CN"/>
        </w:rPr>
        <w:fldChar w:fldCharType="begin"/>
      </w:r>
      <w:r>
        <w:rPr>
          <w:rFonts w:hint="eastAsia" w:ascii="仿宋" w:hAnsi="仿宋" w:eastAsia="仿宋" w:cs="仿宋"/>
          <w:color w:val="auto"/>
          <w:sz w:val="24"/>
          <w:szCs w:val="24"/>
          <w:highlight w:val="none"/>
          <w:lang w:val="en-US" w:eastAsia="zh-CN"/>
        </w:rPr>
        <w:instrText xml:space="preserve"> HYPERLINK \l _Toc19881 </w:instrText>
      </w:r>
      <w:r>
        <w:rPr>
          <w:rFonts w:hint="eastAsia" w:ascii="仿宋" w:hAnsi="仿宋" w:eastAsia="仿宋" w:cs="仿宋"/>
          <w:color w:val="auto"/>
          <w:sz w:val="24"/>
          <w:szCs w:val="24"/>
          <w:highlight w:val="none"/>
          <w:lang w:val="en-US" w:eastAsia="zh-CN"/>
        </w:rPr>
        <w:fldChar w:fldCharType="separate"/>
      </w:r>
      <w:r>
        <w:rPr>
          <w:rFonts w:hint="eastAsia" w:ascii="仿宋" w:hAnsi="仿宋" w:eastAsia="仿宋" w:cs="仿宋"/>
          <w:color w:val="auto"/>
          <w:sz w:val="24"/>
          <w:szCs w:val="24"/>
          <w:highlight w:val="none"/>
          <w:lang w:val="en-US" w:eastAsia="zh-CN"/>
        </w:rPr>
        <w:t>六、结论</w:t>
      </w:r>
      <w:r>
        <w:rPr>
          <w:rFonts w:hint="eastAsia" w:ascii="仿宋" w:hAnsi="仿宋" w:eastAsia="仿宋" w:cs="仿宋"/>
          <w:color w:val="auto"/>
          <w:sz w:val="24"/>
          <w:szCs w:val="24"/>
          <w:highlight w:val="none"/>
          <w:lang w:val="en-US" w:eastAsia="zh-CN"/>
        </w:rPr>
        <w:tab/>
      </w:r>
      <w:r>
        <w:rPr>
          <w:rFonts w:hint="eastAsia" w:ascii="仿宋" w:hAnsi="仿宋" w:eastAsia="仿宋" w:cs="仿宋"/>
          <w:color w:val="auto"/>
          <w:sz w:val="24"/>
          <w:szCs w:val="24"/>
          <w:highlight w:val="none"/>
          <w:lang w:val="en-US" w:eastAsia="zh-CN"/>
        </w:rPr>
        <w:fldChar w:fldCharType="end"/>
      </w:r>
      <w:r>
        <w:rPr>
          <w:rFonts w:hint="eastAsia" w:ascii="仿宋" w:hAnsi="仿宋" w:eastAsia="仿宋" w:cs="仿宋"/>
          <w:color w:val="auto"/>
          <w:sz w:val="24"/>
          <w:szCs w:val="24"/>
          <w:highlight w:val="none"/>
          <w:lang w:val="en-US" w:eastAsia="zh-CN"/>
        </w:rPr>
        <w:t>42</w:t>
      </w:r>
    </w:p>
    <w:p>
      <w:pPr>
        <w:pStyle w:val="78"/>
        <w:tabs>
          <w:tab w:val="right" w:leader="dot" w:pos="8844"/>
        </w:tabs>
        <w:spacing w:line="480" w:lineRule="auto"/>
        <w:rPr>
          <w:rFonts w:hint="eastAsia" w:ascii="仿宋" w:hAnsi="仿宋" w:eastAsia="仿宋" w:cs="仿宋"/>
          <w:b/>
          <w:bCs/>
          <w:color w:val="auto"/>
          <w:sz w:val="28"/>
          <w:szCs w:val="28"/>
          <w:highlight w:val="none"/>
          <w:lang w:val="en-US" w:eastAsia="zh-CN"/>
        </w:rPr>
      </w:pPr>
      <w:r>
        <w:rPr>
          <w:rFonts w:hint="eastAsia" w:ascii="仿宋" w:hAnsi="仿宋" w:eastAsia="仿宋" w:cs="仿宋"/>
          <w:color w:val="auto"/>
          <w:sz w:val="28"/>
          <w:szCs w:val="28"/>
          <w:highlight w:val="none"/>
          <w:lang w:val="en-US" w:eastAsia="zh-CN"/>
        </w:rPr>
        <w:fldChar w:fldCharType="end"/>
      </w:r>
      <w:r>
        <w:rPr>
          <w:rFonts w:hint="eastAsia" w:ascii="仿宋" w:hAnsi="仿宋" w:eastAsia="仿宋" w:cs="仿宋"/>
          <w:b/>
          <w:bCs/>
          <w:color w:val="auto"/>
          <w:sz w:val="28"/>
          <w:szCs w:val="28"/>
          <w:highlight w:val="none"/>
          <w:lang w:val="en-US" w:eastAsia="zh-CN"/>
        </w:rPr>
        <w:t>附图、附件</w:t>
      </w:r>
    </w:p>
    <w:p>
      <w:pPr>
        <w:pStyle w:val="78"/>
        <w:tabs>
          <w:tab w:val="right" w:leader="dot" w:pos="8844"/>
        </w:tabs>
        <w:spacing w:line="480" w:lineRule="auto"/>
        <w:rPr>
          <w:rFonts w:hint="eastAsia" w:ascii="仿宋" w:hAnsi="仿宋" w:eastAsia="仿宋" w:cs="仿宋"/>
          <w:b/>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专家意见</w:t>
      </w:r>
    </w:p>
    <w:p>
      <w:pPr>
        <w:pStyle w:val="78"/>
        <w:tabs>
          <w:tab w:val="right" w:leader="dot" w:pos="8844"/>
        </w:tabs>
        <w:spacing w:line="480" w:lineRule="auto"/>
        <w:rPr>
          <w:rFonts w:hint="default" w:ascii="仿宋" w:hAnsi="仿宋" w:eastAsia="仿宋" w:cs="仿宋"/>
          <w:b/>
          <w:bCs/>
          <w:color w:val="auto"/>
          <w:sz w:val="28"/>
          <w:szCs w:val="28"/>
          <w:highlight w:val="none"/>
          <w:lang w:val="en-US" w:eastAsia="zh-CN"/>
        </w:rPr>
        <w:sectPr>
          <w:pgSz w:w="11906" w:h="16838"/>
          <w:pgMar w:top="1701" w:right="1531" w:bottom="1701" w:left="1531" w:header="851" w:footer="1077" w:gutter="0"/>
          <w:pgNumType w:start="3"/>
          <w:cols w:space="720" w:num="1"/>
          <w:docGrid w:linePitch="312" w:charSpace="0"/>
        </w:sectPr>
      </w:pPr>
      <w:r>
        <w:rPr>
          <w:rFonts w:hint="eastAsia" w:ascii="仿宋" w:hAnsi="仿宋" w:eastAsia="仿宋" w:cs="仿宋"/>
          <w:b/>
          <w:bCs/>
          <w:color w:val="auto"/>
          <w:sz w:val="28"/>
          <w:szCs w:val="28"/>
          <w:highlight w:val="none"/>
          <w:lang w:val="en-US" w:eastAsia="zh-CN"/>
        </w:rPr>
        <w:t>环评文件质量主体责任提醒函</w:t>
      </w:r>
    </w:p>
    <w:p>
      <w:pPr>
        <w:pStyle w:val="5"/>
        <w:rPr>
          <w:rFonts w:hint="default" w:ascii="Times New Roman" w:hAnsi="Times New Roman" w:cs="Times New Roman"/>
          <w:color w:val="auto"/>
          <w:highlight w:val="none"/>
        </w:rPr>
      </w:pPr>
      <w:r>
        <w:rPr>
          <w:rFonts w:hint="default" w:ascii="Times New Roman" w:hAnsi="Times New Roman" w:cs="Times New Roman"/>
          <w:color w:val="auto"/>
          <w:highlight w:val="none"/>
        </w:rPr>
        <w:t>一、建设项目基本情况</w:t>
      </w:r>
    </w:p>
    <w:tbl>
      <w:tblPr>
        <w:tblStyle w:val="31"/>
        <w:tblW w:w="907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520"/>
        <w:gridCol w:w="1916"/>
        <w:gridCol w:w="1674"/>
        <w:gridCol w:w="2262"/>
        <w:gridCol w:w="269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1" w:hRule="atLeast"/>
          <w:jc w:val="center"/>
        </w:trPr>
        <w:tc>
          <w:tcPr>
            <w:tcW w:w="2436" w:type="dxa"/>
            <w:gridSpan w:val="2"/>
            <w:tcMar>
              <w:top w:w="16" w:type="dxa"/>
              <w:left w:w="16" w:type="dxa"/>
              <w:right w:w="16" w:type="dxa"/>
            </w:tcMar>
            <w:vAlign w:val="center"/>
          </w:tcPr>
          <w:p>
            <w:pPr>
              <w:pStyle w:val="6"/>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建设项目名称</w:t>
            </w:r>
          </w:p>
        </w:tc>
        <w:tc>
          <w:tcPr>
            <w:tcW w:w="6635" w:type="dxa"/>
            <w:gridSpan w:val="3"/>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highlight w:val="none"/>
                <w:lang w:val="en-US"/>
              </w:rPr>
            </w:pPr>
            <w:r>
              <w:rPr>
                <w:rFonts w:hint="eastAsia" w:cs="Times New Roman"/>
                <w:color w:val="auto"/>
                <w:highlight w:val="none"/>
                <w:lang w:val="en-US" w:eastAsia="zh-CN"/>
              </w:rPr>
              <w:t>钢板、轮毂及铝制品加工生产项目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36" w:type="dxa"/>
            <w:gridSpan w:val="2"/>
            <w:tcMar>
              <w:top w:w="16" w:type="dxa"/>
              <w:left w:w="16" w:type="dxa"/>
              <w:right w:w="16" w:type="dxa"/>
            </w:tcMar>
            <w:vAlign w:val="center"/>
          </w:tcPr>
          <w:p>
            <w:pPr>
              <w:pStyle w:val="6"/>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项目代码</w:t>
            </w:r>
          </w:p>
        </w:tc>
        <w:tc>
          <w:tcPr>
            <w:tcW w:w="6635" w:type="dxa"/>
            <w:gridSpan w:val="3"/>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2306-130371-89-05-348368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36" w:type="dxa"/>
            <w:gridSpan w:val="2"/>
            <w:tcMar>
              <w:top w:w="16" w:type="dxa"/>
              <w:left w:w="16" w:type="dxa"/>
              <w:right w:w="16" w:type="dxa"/>
            </w:tcMar>
            <w:vAlign w:val="center"/>
          </w:tcPr>
          <w:p>
            <w:pPr>
              <w:pStyle w:val="6"/>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建设单位联系人</w:t>
            </w:r>
          </w:p>
        </w:tc>
        <w:tc>
          <w:tcPr>
            <w:tcW w:w="1674" w:type="dxa"/>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auto"/>
                <w:highlight w:val="none"/>
                <w:lang w:val="en-US" w:eastAsia="zh-CN"/>
              </w:rPr>
            </w:pPr>
            <w:r>
              <w:rPr>
                <w:rFonts w:hint="eastAsia" w:cs="Times New Roman"/>
                <w:color w:val="auto"/>
                <w:highlight w:val="none"/>
                <w:lang w:val="en-US" w:eastAsia="zh-CN"/>
              </w:rPr>
              <w:t>童大志</w:t>
            </w:r>
          </w:p>
        </w:tc>
        <w:tc>
          <w:tcPr>
            <w:tcW w:w="2262" w:type="dxa"/>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auto"/>
                <w:highlight w:val="none"/>
                <w:lang w:val="en-US" w:eastAsia="zh-CN"/>
              </w:rPr>
            </w:pPr>
            <w:r>
              <w:rPr>
                <w:rFonts w:hint="default" w:cs="Times New Roman"/>
                <w:b/>
                <w:bCs/>
                <w:color w:val="auto"/>
                <w:highlight w:val="none"/>
                <w:lang w:val="en-US" w:eastAsia="zh-CN"/>
              </w:rPr>
              <w:t>联系方式</w:t>
            </w:r>
          </w:p>
        </w:tc>
        <w:tc>
          <w:tcPr>
            <w:tcW w:w="2699" w:type="dxa"/>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auto"/>
                <w:highlight w:val="none"/>
                <w:lang w:val="en-US" w:eastAsia="zh-CN"/>
              </w:rPr>
            </w:pPr>
            <w:r>
              <w:rPr>
                <w:rFonts w:hint="eastAsia" w:cs="Times New Roman"/>
                <w:color w:val="auto"/>
                <w:highlight w:val="none"/>
                <w:lang w:val="en-US" w:eastAsia="zh-CN"/>
              </w:rPr>
              <w:t>13903356840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36" w:type="dxa"/>
            <w:gridSpan w:val="2"/>
            <w:tcMar>
              <w:top w:w="16" w:type="dxa"/>
              <w:left w:w="16" w:type="dxa"/>
              <w:right w:w="16" w:type="dxa"/>
            </w:tcMar>
            <w:vAlign w:val="center"/>
          </w:tcPr>
          <w:p>
            <w:pPr>
              <w:pStyle w:val="6"/>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建设地点</w:t>
            </w:r>
          </w:p>
        </w:tc>
        <w:tc>
          <w:tcPr>
            <w:tcW w:w="6635" w:type="dxa"/>
            <w:gridSpan w:val="3"/>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秦皇岛经济技术开发区天山北路8号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36" w:type="dxa"/>
            <w:gridSpan w:val="2"/>
            <w:tcMar>
              <w:top w:w="16" w:type="dxa"/>
              <w:left w:w="16" w:type="dxa"/>
              <w:right w:w="16" w:type="dxa"/>
            </w:tcMar>
            <w:vAlign w:val="center"/>
          </w:tcPr>
          <w:p>
            <w:pPr>
              <w:pStyle w:val="6"/>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地理坐标</w:t>
            </w:r>
          </w:p>
        </w:tc>
        <w:tc>
          <w:tcPr>
            <w:tcW w:w="6635" w:type="dxa"/>
            <w:gridSpan w:val="3"/>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eastAsia="宋体" w:cs="Times New Roman"/>
                <w:color w:val="auto"/>
                <w:highlight w:val="none"/>
                <w:lang w:val="en-US" w:eastAsia="zh-CN"/>
              </w:rPr>
              <w:t>北纬39°55′48.56</w:t>
            </w:r>
            <w:r>
              <w:rPr>
                <w:rFonts w:hint="eastAsia" w:ascii="Times New Roman" w:hAnsi="Times New Roman" w:eastAsia="宋体" w:cs="Times New Roman"/>
                <w:color w:val="auto"/>
                <w:highlight w:val="none"/>
                <w:lang w:val="en-US" w:eastAsia="zh-CN"/>
              </w:rPr>
              <w:t>3</w:t>
            </w:r>
            <w:r>
              <w:rPr>
                <w:rFonts w:hint="default" w:ascii="Times New Roman" w:hAnsi="Times New Roman" w:eastAsia="宋体" w:cs="Times New Roman"/>
                <w:color w:val="auto"/>
                <w:highlight w:val="none"/>
                <w:lang w:val="en-US" w:eastAsia="zh-CN"/>
              </w:rPr>
              <w:t>″、东经119°30′21.54</w:t>
            </w:r>
            <w:r>
              <w:rPr>
                <w:rFonts w:hint="eastAsia" w:ascii="Times New Roman" w:hAnsi="Times New Roman" w:eastAsia="宋体" w:cs="Times New Roman"/>
                <w:color w:val="auto"/>
                <w:highlight w:val="none"/>
                <w:lang w:val="en-US" w:eastAsia="zh-CN"/>
              </w:rPr>
              <w:t>7</w:t>
            </w:r>
            <w:r>
              <w:rPr>
                <w:rFonts w:hint="default" w:ascii="Times New Roman" w:hAnsi="Times New Roman" w:eastAsia="宋体" w:cs="Times New Roman"/>
                <w:color w:val="auto"/>
                <w:highlight w:val="none"/>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36" w:type="dxa"/>
            <w:gridSpan w:val="2"/>
            <w:tcMar>
              <w:top w:w="16" w:type="dxa"/>
              <w:left w:w="16" w:type="dxa"/>
              <w:right w:w="16" w:type="dxa"/>
            </w:tcMar>
            <w:vAlign w:val="center"/>
          </w:tcPr>
          <w:p>
            <w:pPr>
              <w:pStyle w:val="6"/>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国民经济</w:t>
            </w:r>
          </w:p>
          <w:p>
            <w:pPr>
              <w:pStyle w:val="6"/>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行业类别</w:t>
            </w:r>
          </w:p>
        </w:tc>
        <w:tc>
          <w:tcPr>
            <w:tcW w:w="1674" w:type="dxa"/>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Cs w:val="21"/>
                <w:highlight w:val="none"/>
                <w:lang w:val="en-US" w:eastAsia="zh-CN"/>
              </w:rPr>
            </w:pPr>
            <w:r>
              <w:rPr>
                <w:color w:val="auto"/>
                <w:sz w:val="24"/>
                <w:highlight w:val="none"/>
              </w:rPr>
              <w:t>C</w:t>
            </w:r>
            <w:r>
              <w:rPr>
                <w:rFonts w:hint="eastAsia"/>
                <w:color w:val="auto"/>
                <w:sz w:val="24"/>
                <w:highlight w:val="none"/>
                <w:lang w:val="en-US" w:eastAsia="zh-CN"/>
              </w:rPr>
              <w:t>3311 金属结构制造、C3670汽车零部件及配件制造</w:t>
            </w:r>
          </w:p>
        </w:tc>
        <w:tc>
          <w:tcPr>
            <w:tcW w:w="2262" w:type="dxa"/>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bookmarkStart w:id="0" w:name="_Hlk49843745"/>
            <w:r>
              <w:rPr>
                <w:rFonts w:hint="default" w:ascii="Times New Roman" w:hAnsi="Times New Roman" w:cs="Times New Roman"/>
                <w:b/>
                <w:bCs/>
                <w:color w:val="auto"/>
                <w:szCs w:val="21"/>
                <w:highlight w:val="none"/>
              </w:rPr>
              <w:t>建设项目</w:t>
            </w:r>
          </w:p>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行业类别</w:t>
            </w:r>
            <w:bookmarkEnd w:id="0"/>
          </w:p>
        </w:tc>
        <w:tc>
          <w:tcPr>
            <w:tcW w:w="2699" w:type="dxa"/>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highlight w:val="none"/>
              </w:rPr>
            </w:pPr>
            <w:r>
              <w:rPr>
                <w:rFonts w:hint="eastAsia" w:ascii="Times New Roman" w:hAnsi="Times New Roman" w:cs="Times New Roman"/>
                <w:color w:val="auto"/>
                <w:sz w:val="24"/>
                <w:highlight w:val="none"/>
                <w:lang w:val="en-US" w:eastAsia="zh-CN"/>
              </w:rPr>
              <w:t>三十、金属制品业33—66.结构性金属制品制造331；</w:t>
            </w:r>
            <w:r>
              <w:rPr>
                <w:rFonts w:hint="default" w:ascii="Times New Roman" w:hAnsi="Times New Roman" w:cs="Times New Roman"/>
                <w:color w:val="auto"/>
                <w:sz w:val="24"/>
                <w:highlight w:val="none"/>
                <w:lang w:val="en-US" w:eastAsia="zh-CN"/>
              </w:rPr>
              <w:t>三十</w:t>
            </w:r>
            <w:r>
              <w:rPr>
                <w:rFonts w:hint="eastAsia" w:ascii="Times New Roman" w:hAnsi="Times New Roman" w:cs="Times New Roman"/>
                <w:color w:val="auto"/>
                <w:sz w:val="24"/>
                <w:highlight w:val="none"/>
                <w:lang w:val="en-US" w:eastAsia="zh-CN"/>
              </w:rPr>
              <w:t>三、汽车制造36—71.汽车零部件及配件制造367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36" w:type="dxa"/>
            <w:gridSpan w:val="2"/>
            <w:tcMar>
              <w:top w:w="16" w:type="dxa"/>
              <w:left w:w="16" w:type="dxa"/>
              <w:right w:w="16" w:type="dxa"/>
            </w:tcMar>
            <w:vAlign w:val="center"/>
          </w:tcPr>
          <w:p>
            <w:pPr>
              <w:pStyle w:val="6"/>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建设性质</w:t>
            </w:r>
          </w:p>
        </w:tc>
        <w:tc>
          <w:tcPr>
            <w:tcW w:w="1674" w:type="dxa"/>
            <w:vAlign w:val="center"/>
          </w:tcPr>
          <w:p>
            <w:pPr>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sym w:font="Wingdings 2" w:char="00A3"/>
            </w:r>
            <w:r>
              <w:rPr>
                <w:rFonts w:hint="default" w:ascii="Times New Roman" w:hAnsi="Times New Roman" w:cs="Times New Roman"/>
                <w:color w:val="auto"/>
                <w:szCs w:val="21"/>
                <w:highlight w:val="none"/>
              </w:rPr>
              <w:t>新建（迁建）</w:t>
            </w:r>
          </w:p>
          <w:p>
            <w:pPr>
              <w:pageBreakBefore w:val="0"/>
              <w:widowControl w:val="0"/>
              <w:kinsoku/>
              <w:wordWrap/>
              <w:overflowPunct/>
              <w:topLinePunct w:val="0"/>
              <w:autoSpaceDE/>
              <w:autoSpaceDN/>
              <w:bidi w:val="0"/>
              <w:spacing w:line="240" w:lineRule="auto"/>
              <w:ind w:firstLine="0" w:firstLineChars="0"/>
              <w:jc w:val="left"/>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sym w:font="Wingdings 2" w:char="00A3"/>
            </w:r>
            <w:r>
              <w:rPr>
                <w:rFonts w:hint="default" w:ascii="Times New Roman" w:hAnsi="Times New Roman" w:cs="Times New Roman"/>
                <w:color w:val="auto"/>
                <w:szCs w:val="21"/>
                <w:highlight w:val="none"/>
              </w:rPr>
              <w:t>改建</w:t>
            </w:r>
          </w:p>
          <w:p>
            <w:pPr>
              <w:pageBreakBefore w:val="0"/>
              <w:widowControl w:val="0"/>
              <w:kinsoku/>
              <w:wordWrap/>
              <w:overflowPunct/>
              <w:topLinePunct w:val="0"/>
              <w:autoSpaceDE/>
              <w:autoSpaceDN/>
              <w:bidi w:val="0"/>
              <w:spacing w:line="240" w:lineRule="auto"/>
              <w:ind w:firstLine="0" w:firstLineChars="0"/>
              <w:jc w:val="both"/>
              <w:textAlignment w:val="auto"/>
              <w:rPr>
                <w:rFonts w:hint="default" w:ascii="Times New Roman" w:hAnsi="Times New Roman" w:cs="Times New Roman"/>
                <w:color w:val="auto"/>
                <w:szCs w:val="21"/>
                <w:highlight w:val="none"/>
              </w:rPr>
            </w:pPr>
            <w:r>
              <w:rPr>
                <w:rFonts w:hint="eastAsia" w:cs="Times New Roman"/>
                <w:color w:val="auto"/>
                <w:szCs w:val="21"/>
                <w:highlight w:val="none"/>
                <w:lang w:eastAsia="zh-CN"/>
              </w:rPr>
              <w:sym w:font="Wingdings 2" w:char="0052"/>
            </w:r>
            <w:r>
              <w:rPr>
                <w:rFonts w:hint="default" w:ascii="Times New Roman" w:hAnsi="Times New Roman" w:cs="Times New Roman"/>
                <w:color w:val="auto"/>
                <w:szCs w:val="21"/>
                <w:highlight w:val="none"/>
              </w:rPr>
              <w:t>扩建</w:t>
            </w:r>
          </w:p>
          <w:p>
            <w:pPr>
              <w:pageBreakBefore w:val="0"/>
              <w:widowControl w:val="0"/>
              <w:kinsoku/>
              <w:wordWrap/>
              <w:overflowPunct/>
              <w:topLinePunct w:val="0"/>
              <w:autoSpaceDE/>
              <w:autoSpaceDN/>
              <w:bidi w:val="0"/>
              <w:spacing w:line="240" w:lineRule="auto"/>
              <w:ind w:firstLine="0" w:firstLineChars="0"/>
              <w:jc w:val="both"/>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sym w:font="Wingdings 2" w:char="00A3"/>
            </w:r>
            <w:r>
              <w:rPr>
                <w:rFonts w:hint="default" w:ascii="Times New Roman" w:hAnsi="Times New Roman" w:cs="Times New Roman"/>
                <w:color w:val="auto"/>
                <w:szCs w:val="21"/>
                <w:highlight w:val="none"/>
              </w:rPr>
              <w:t>技术改造</w:t>
            </w:r>
          </w:p>
        </w:tc>
        <w:tc>
          <w:tcPr>
            <w:tcW w:w="2262" w:type="dxa"/>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建设项目</w:t>
            </w:r>
          </w:p>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申报情形</w:t>
            </w:r>
          </w:p>
        </w:tc>
        <w:tc>
          <w:tcPr>
            <w:tcW w:w="2699" w:type="dxa"/>
            <w:vAlign w:val="center"/>
          </w:tcPr>
          <w:p>
            <w:pPr>
              <w:pageBreakBefore w:val="0"/>
              <w:widowControl w:val="0"/>
              <w:kinsoku/>
              <w:wordWrap/>
              <w:overflowPunct/>
              <w:topLinePunct w:val="0"/>
              <w:autoSpaceDE/>
              <w:autoSpaceDN/>
              <w:bidi w:val="0"/>
              <w:spacing w:line="240" w:lineRule="auto"/>
              <w:ind w:firstLine="0" w:firstLineChars="0"/>
              <w:jc w:val="left"/>
              <w:textAlignment w:val="auto"/>
              <w:rPr>
                <w:rFonts w:hint="default" w:ascii="Times New Roman" w:hAnsi="Times New Roman" w:cs="Times New Roman"/>
                <w:color w:val="auto"/>
                <w:szCs w:val="21"/>
                <w:highlight w:val="none"/>
                <w:lang w:eastAsia="zh-CN"/>
              </w:rPr>
            </w:pPr>
            <w:r>
              <w:rPr>
                <w:rFonts w:hint="eastAsia" w:ascii="Times New Roman" w:hAnsi="Times New Roman" w:cs="Times New Roman"/>
                <w:color w:val="auto"/>
                <w:szCs w:val="21"/>
                <w:highlight w:val="none"/>
                <w:lang w:eastAsia="zh-CN"/>
              </w:rPr>
              <w:sym w:font="Wingdings 2" w:char="0052"/>
            </w:r>
            <w:r>
              <w:rPr>
                <w:rFonts w:hint="default" w:ascii="Times New Roman" w:hAnsi="Times New Roman" w:cs="Times New Roman"/>
                <w:color w:val="auto"/>
                <w:szCs w:val="21"/>
                <w:highlight w:val="none"/>
                <w:lang w:eastAsia="zh-CN"/>
              </w:rPr>
              <w:t>首次申报项目</w:t>
            </w:r>
          </w:p>
          <w:p>
            <w:pPr>
              <w:pageBreakBefore w:val="0"/>
              <w:widowControl w:val="0"/>
              <w:kinsoku/>
              <w:wordWrap/>
              <w:overflowPunct/>
              <w:topLinePunct w:val="0"/>
              <w:autoSpaceDE/>
              <w:autoSpaceDN/>
              <w:bidi w:val="0"/>
              <w:spacing w:line="240" w:lineRule="auto"/>
              <w:ind w:firstLine="0" w:firstLineChars="0"/>
              <w:jc w:val="left"/>
              <w:textAlignment w:val="auto"/>
              <w:rPr>
                <w:rFonts w:hint="default" w:ascii="Times New Roman" w:hAnsi="Times New Roman" w:cs="Times New Roman"/>
                <w:color w:val="auto"/>
                <w:szCs w:val="21"/>
                <w:highlight w:val="none"/>
                <w:lang w:eastAsia="zh-CN"/>
              </w:rPr>
            </w:pPr>
            <w:r>
              <w:rPr>
                <w:rFonts w:hint="default" w:ascii="Times New Roman" w:hAnsi="Times New Roman" w:cs="Times New Roman"/>
                <w:color w:val="auto"/>
                <w:szCs w:val="21"/>
                <w:highlight w:val="none"/>
                <w:lang w:eastAsia="zh-CN"/>
              </w:rPr>
              <w:sym w:font="Wingdings 2" w:char="00A3"/>
            </w:r>
            <w:r>
              <w:rPr>
                <w:rFonts w:hint="default" w:ascii="Times New Roman" w:hAnsi="Times New Roman" w:cs="Times New Roman"/>
                <w:color w:val="auto"/>
                <w:szCs w:val="21"/>
                <w:highlight w:val="none"/>
                <w:lang w:eastAsia="zh-CN"/>
              </w:rPr>
              <w:t>不予批准后再次申报项目</w:t>
            </w:r>
          </w:p>
          <w:p>
            <w:pPr>
              <w:pageBreakBefore w:val="0"/>
              <w:widowControl w:val="0"/>
              <w:kinsoku/>
              <w:wordWrap/>
              <w:overflowPunct/>
              <w:topLinePunct w:val="0"/>
              <w:autoSpaceDE/>
              <w:autoSpaceDN/>
              <w:bidi w:val="0"/>
              <w:spacing w:line="240" w:lineRule="auto"/>
              <w:ind w:firstLine="0" w:firstLineChars="0"/>
              <w:jc w:val="left"/>
              <w:textAlignment w:val="auto"/>
              <w:rPr>
                <w:rFonts w:hint="default" w:ascii="Times New Roman" w:hAnsi="Times New Roman" w:cs="Times New Roman"/>
                <w:color w:val="auto"/>
                <w:szCs w:val="21"/>
                <w:highlight w:val="none"/>
                <w:lang w:eastAsia="zh-CN"/>
              </w:rPr>
            </w:pPr>
            <w:r>
              <w:rPr>
                <w:rFonts w:hint="default" w:ascii="Times New Roman" w:hAnsi="Times New Roman" w:cs="Times New Roman"/>
                <w:color w:val="auto"/>
                <w:szCs w:val="21"/>
                <w:highlight w:val="none"/>
                <w:lang w:eastAsia="zh-CN"/>
              </w:rPr>
              <w:sym w:font="Wingdings 2" w:char="00A3"/>
            </w:r>
            <w:r>
              <w:rPr>
                <w:rFonts w:hint="default" w:ascii="Times New Roman" w:hAnsi="Times New Roman" w:cs="Times New Roman"/>
                <w:color w:val="auto"/>
                <w:szCs w:val="21"/>
                <w:highlight w:val="none"/>
                <w:lang w:eastAsia="zh-CN"/>
              </w:rPr>
              <w:t>超五年重新审核项目</w:t>
            </w:r>
          </w:p>
          <w:p>
            <w:pPr>
              <w:pageBreakBefore w:val="0"/>
              <w:widowControl w:val="0"/>
              <w:kinsoku/>
              <w:wordWrap/>
              <w:overflowPunct/>
              <w:topLinePunct w:val="0"/>
              <w:autoSpaceDE/>
              <w:autoSpaceDN/>
              <w:bidi w:val="0"/>
              <w:spacing w:line="240" w:lineRule="auto"/>
              <w:ind w:firstLine="0" w:firstLineChars="0"/>
              <w:jc w:val="left"/>
              <w:textAlignment w:val="auto"/>
              <w:rPr>
                <w:rFonts w:hint="default" w:ascii="Times New Roman" w:hAnsi="Times New Roman" w:cs="Times New Roman"/>
                <w:color w:val="auto"/>
                <w:szCs w:val="21"/>
                <w:highlight w:val="none"/>
                <w:lang w:eastAsia="zh-CN"/>
              </w:rPr>
            </w:pPr>
            <w:r>
              <w:rPr>
                <w:rFonts w:hint="default" w:ascii="Times New Roman" w:hAnsi="Times New Roman" w:cs="Times New Roman"/>
                <w:color w:val="auto"/>
                <w:szCs w:val="21"/>
                <w:highlight w:val="none"/>
                <w:lang w:eastAsia="zh-CN"/>
              </w:rPr>
              <w:sym w:font="Wingdings 2" w:char="00A3"/>
            </w:r>
            <w:r>
              <w:rPr>
                <w:rFonts w:hint="default" w:ascii="Times New Roman" w:hAnsi="Times New Roman" w:cs="Times New Roman"/>
                <w:color w:val="auto"/>
                <w:szCs w:val="21"/>
                <w:highlight w:val="none"/>
                <w:lang w:eastAsia="zh-CN"/>
              </w:rPr>
              <w:t>重大变动重新报批项目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36" w:type="dxa"/>
            <w:gridSpan w:val="2"/>
            <w:tcMar>
              <w:top w:w="16" w:type="dxa"/>
              <w:left w:w="16" w:type="dxa"/>
              <w:right w:w="16" w:type="dxa"/>
            </w:tcMar>
            <w:vAlign w:val="center"/>
          </w:tcPr>
          <w:p>
            <w:pPr>
              <w:pStyle w:val="6"/>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项目审批（核准/</w:t>
            </w:r>
          </w:p>
          <w:p>
            <w:pPr>
              <w:pStyle w:val="6"/>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备案）部门（选填）</w:t>
            </w:r>
          </w:p>
        </w:tc>
        <w:tc>
          <w:tcPr>
            <w:tcW w:w="1674" w:type="dxa"/>
            <w:vAlign w:val="center"/>
          </w:tcPr>
          <w:p>
            <w:pPr>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秦皇岛经济技术开发区行政审批局</w:t>
            </w:r>
          </w:p>
        </w:tc>
        <w:tc>
          <w:tcPr>
            <w:tcW w:w="2262" w:type="dxa"/>
            <w:vAlign w:val="center"/>
          </w:tcPr>
          <w:p>
            <w:pPr>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项目审批（核准/</w:t>
            </w:r>
          </w:p>
          <w:p>
            <w:pPr>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b/>
                <w:bCs/>
                <w:color w:val="auto"/>
                <w:szCs w:val="21"/>
                <w:highlight w:val="none"/>
              </w:rPr>
              <w:t>备案）文号（选填）</w:t>
            </w:r>
          </w:p>
        </w:tc>
        <w:tc>
          <w:tcPr>
            <w:tcW w:w="2699" w:type="dxa"/>
            <w:vAlign w:val="center"/>
          </w:tcPr>
          <w:p>
            <w:pPr>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szCs w:val="21"/>
                <w:highlight w:val="none"/>
                <w:lang w:eastAsia="zh-CN"/>
              </w:rPr>
            </w:pPr>
            <w:r>
              <w:rPr>
                <w:rFonts w:hint="eastAsia" w:cs="Times New Roman"/>
                <w:color w:val="auto"/>
                <w:szCs w:val="21"/>
                <w:highlight w:val="none"/>
                <w:lang w:eastAsia="zh-CN"/>
              </w:rPr>
              <w:t>冀秦区备字〔2023〕167号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36" w:type="dxa"/>
            <w:gridSpan w:val="2"/>
            <w:tcMar>
              <w:top w:w="16" w:type="dxa"/>
              <w:left w:w="16" w:type="dxa"/>
              <w:right w:w="16" w:type="dxa"/>
            </w:tcMar>
            <w:vAlign w:val="center"/>
          </w:tcPr>
          <w:p>
            <w:pPr>
              <w:pStyle w:val="6"/>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总投资（万元）</w:t>
            </w:r>
          </w:p>
        </w:tc>
        <w:tc>
          <w:tcPr>
            <w:tcW w:w="1674" w:type="dxa"/>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350</w:t>
            </w:r>
          </w:p>
        </w:tc>
        <w:tc>
          <w:tcPr>
            <w:tcW w:w="2262" w:type="dxa"/>
            <w:tcMar>
              <w:top w:w="16" w:type="dxa"/>
              <w:left w:w="16" w:type="dxa"/>
              <w:right w:w="16" w:type="dxa"/>
            </w:tcMar>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环保投资（万元）</w:t>
            </w:r>
          </w:p>
        </w:tc>
        <w:tc>
          <w:tcPr>
            <w:tcW w:w="2699" w:type="dxa"/>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36" w:type="dxa"/>
            <w:gridSpan w:val="2"/>
            <w:tcMar>
              <w:top w:w="16" w:type="dxa"/>
              <w:left w:w="16" w:type="dxa"/>
              <w:right w:w="16" w:type="dxa"/>
            </w:tcMar>
            <w:vAlign w:val="center"/>
          </w:tcPr>
          <w:p>
            <w:pPr>
              <w:pStyle w:val="6"/>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环保投资占比（%）</w:t>
            </w:r>
          </w:p>
        </w:tc>
        <w:tc>
          <w:tcPr>
            <w:tcW w:w="1674" w:type="dxa"/>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0.29</w:t>
            </w:r>
          </w:p>
        </w:tc>
        <w:tc>
          <w:tcPr>
            <w:tcW w:w="2262" w:type="dxa"/>
            <w:tcMar>
              <w:top w:w="16" w:type="dxa"/>
              <w:left w:w="16" w:type="dxa"/>
              <w:right w:w="16" w:type="dxa"/>
            </w:tcMar>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施工工期</w:t>
            </w:r>
          </w:p>
        </w:tc>
        <w:tc>
          <w:tcPr>
            <w:tcW w:w="2699" w:type="dxa"/>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1个月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42" w:hRule="atLeast"/>
          <w:jc w:val="center"/>
        </w:trPr>
        <w:tc>
          <w:tcPr>
            <w:tcW w:w="2436" w:type="dxa"/>
            <w:gridSpan w:val="2"/>
            <w:tcMar>
              <w:top w:w="16" w:type="dxa"/>
              <w:left w:w="16" w:type="dxa"/>
              <w:right w:w="16" w:type="dxa"/>
            </w:tcMar>
            <w:vAlign w:val="center"/>
          </w:tcPr>
          <w:p>
            <w:pPr>
              <w:pStyle w:val="6"/>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是否开工建设</w:t>
            </w:r>
          </w:p>
        </w:tc>
        <w:tc>
          <w:tcPr>
            <w:tcW w:w="1674" w:type="dxa"/>
            <w:vAlign w:val="center"/>
          </w:tcPr>
          <w:p>
            <w:pPr>
              <w:pageBreakBefore w:val="0"/>
              <w:widowControl w:val="0"/>
              <w:kinsoku/>
              <w:wordWrap/>
              <w:overflowPunct/>
              <w:topLinePunct w:val="0"/>
              <w:autoSpaceDE/>
              <w:autoSpaceDN/>
              <w:bidi w:val="0"/>
              <w:spacing w:line="240" w:lineRule="auto"/>
              <w:ind w:firstLine="0" w:firstLineChars="0"/>
              <w:jc w:val="left"/>
              <w:textAlignment w:val="auto"/>
              <w:rPr>
                <w:rFonts w:hint="default" w:ascii="Times New Roman" w:hAnsi="Times New Roman" w:cs="Times New Roman"/>
                <w:color w:val="auto"/>
                <w:szCs w:val="21"/>
                <w:highlight w:val="none"/>
                <w:lang w:eastAsia="zh-CN"/>
              </w:rPr>
            </w:pPr>
            <w:r>
              <w:rPr>
                <w:rFonts w:hint="eastAsia" w:ascii="Times New Roman" w:hAnsi="Times New Roman" w:cs="Times New Roman"/>
                <w:color w:val="auto"/>
                <w:szCs w:val="21"/>
                <w:highlight w:val="none"/>
                <w:lang w:eastAsia="zh-CN"/>
              </w:rPr>
              <w:sym w:font="Wingdings 2" w:char="0052"/>
            </w:r>
            <w:r>
              <w:rPr>
                <w:rFonts w:hint="default" w:ascii="Times New Roman" w:hAnsi="Times New Roman" w:cs="Times New Roman"/>
                <w:color w:val="auto"/>
                <w:szCs w:val="21"/>
                <w:highlight w:val="none"/>
                <w:lang w:eastAsia="zh-CN"/>
              </w:rPr>
              <w:t>否</w:t>
            </w:r>
          </w:p>
          <w:p>
            <w:pPr>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w:t>
            </w:r>
          </w:p>
        </w:tc>
        <w:tc>
          <w:tcPr>
            <w:tcW w:w="2262" w:type="dxa"/>
            <w:tcMar>
              <w:top w:w="16" w:type="dxa"/>
              <w:left w:w="16" w:type="dxa"/>
              <w:right w:w="16" w:type="dxa"/>
            </w:tcMar>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pacing w:val="-6"/>
                <w:szCs w:val="21"/>
                <w:highlight w:val="none"/>
              </w:rPr>
            </w:pPr>
            <w:r>
              <w:rPr>
                <w:rFonts w:hint="default" w:ascii="Times New Roman" w:hAnsi="Times New Roman" w:cs="Times New Roman"/>
                <w:b/>
                <w:bCs/>
                <w:color w:val="auto"/>
                <w:spacing w:val="-6"/>
                <w:szCs w:val="21"/>
                <w:highlight w:val="none"/>
              </w:rPr>
              <w:t>用地（用海）</w:t>
            </w:r>
          </w:p>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pacing w:val="-6"/>
                <w:szCs w:val="21"/>
                <w:highlight w:val="none"/>
              </w:rPr>
              <w:t>面积（m</w:t>
            </w:r>
            <w:r>
              <w:rPr>
                <w:rFonts w:hint="default" w:ascii="Times New Roman" w:hAnsi="Times New Roman" w:cs="Times New Roman"/>
                <w:b/>
                <w:bCs/>
                <w:color w:val="auto"/>
                <w:spacing w:val="-6"/>
                <w:szCs w:val="21"/>
                <w:highlight w:val="none"/>
                <w:vertAlign w:val="superscript"/>
              </w:rPr>
              <w:t>2</w:t>
            </w:r>
            <w:r>
              <w:rPr>
                <w:rFonts w:hint="default" w:ascii="Times New Roman" w:hAnsi="Times New Roman" w:cs="Times New Roman"/>
                <w:b/>
                <w:bCs/>
                <w:color w:val="auto"/>
                <w:spacing w:val="-6"/>
                <w:szCs w:val="21"/>
                <w:highlight w:val="none"/>
              </w:rPr>
              <w:t>）</w:t>
            </w:r>
          </w:p>
        </w:tc>
        <w:tc>
          <w:tcPr>
            <w:tcW w:w="2699" w:type="dxa"/>
            <w:vAlign w:val="center"/>
          </w:tcPr>
          <w:p>
            <w:pPr>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2436" w:type="dxa"/>
            <w:gridSpan w:val="2"/>
            <w:vAlign w:val="center"/>
          </w:tcPr>
          <w:p>
            <w:pPr>
              <w:pStyle w:val="6"/>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专项评价设置情况</w:t>
            </w:r>
          </w:p>
        </w:tc>
        <w:tc>
          <w:tcPr>
            <w:tcW w:w="6635" w:type="dxa"/>
            <w:gridSpan w:val="3"/>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479" w:hRule="atLeast"/>
          <w:jc w:val="center"/>
        </w:trPr>
        <w:tc>
          <w:tcPr>
            <w:tcW w:w="2436" w:type="dxa"/>
            <w:gridSpan w:val="2"/>
            <w:vAlign w:val="center"/>
          </w:tcPr>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规划情况</w:t>
            </w:r>
          </w:p>
        </w:tc>
        <w:tc>
          <w:tcPr>
            <w:tcW w:w="6635" w:type="dxa"/>
            <w:gridSpan w:val="3"/>
            <w:vAlign w:val="center"/>
          </w:tcPr>
          <w:p>
            <w:pPr>
              <w:autoSpaceDE w:val="0"/>
              <w:autoSpaceDN w:val="0"/>
              <w:adjustRightInd w:val="0"/>
              <w:snapToGrid w:val="0"/>
              <w:rPr>
                <w:rFonts w:hint="default"/>
                <w:color w:val="auto"/>
                <w:highlight w:val="none"/>
              </w:rPr>
            </w:pPr>
            <w:r>
              <w:rPr>
                <w:rFonts w:hint="default"/>
                <w:color w:val="auto"/>
                <w:highlight w:val="none"/>
              </w:rPr>
              <w:t>秦皇岛经济技术开发区总体规划文件名称：《秦皇岛经济技术开发区（扩区）总体规划》</w:t>
            </w:r>
          </w:p>
          <w:p>
            <w:pPr>
              <w:autoSpaceDE w:val="0"/>
              <w:autoSpaceDN w:val="0"/>
              <w:adjustRightInd w:val="0"/>
              <w:snapToGrid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召集审查机关：商务部、国土资源部、建设部</w:t>
            </w:r>
          </w:p>
          <w:p>
            <w:pPr>
              <w:autoSpaceDE w:val="0"/>
              <w:autoSpaceDN w:val="0"/>
              <w:adjustRightInd w:val="0"/>
              <w:snapToGrid w:val="0"/>
              <w:rPr>
                <w:rFonts w:hint="default"/>
                <w:color w:val="auto"/>
                <w:highlight w:val="none"/>
              </w:rPr>
            </w:pPr>
            <w:r>
              <w:rPr>
                <w:rFonts w:hint="default" w:ascii="Times New Roman" w:hAnsi="Times New Roman" w:cs="Times New Roman"/>
                <w:color w:val="auto"/>
                <w:highlight w:val="none"/>
                <w:lang w:val="en-US" w:eastAsia="zh-CN"/>
              </w:rPr>
              <w:t>审查文件名称及文号：《关于同意秦皇岛经济技术开发区扩大建设用地规划范围的复函》（商资函[2005]72号）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31" w:hRule="atLeast"/>
          <w:jc w:val="center"/>
        </w:trPr>
        <w:tc>
          <w:tcPr>
            <w:tcW w:w="2436" w:type="dxa"/>
            <w:gridSpan w:val="2"/>
            <w:vAlign w:val="center"/>
          </w:tcPr>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规划环境影响</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评价情况</w:t>
            </w:r>
          </w:p>
        </w:tc>
        <w:tc>
          <w:tcPr>
            <w:tcW w:w="6635" w:type="dxa"/>
            <w:gridSpan w:val="3"/>
            <w:vAlign w:val="center"/>
          </w:tcPr>
          <w:p>
            <w:pPr>
              <w:autoSpaceDE w:val="0"/>
              <w:autoSpaceDN w:val="0"/>
              <w:adjustRightInd w:val="0"/>
              <w:snapToGrid w:val="0"/>
              <w:rPr>
                <w:rFonts w:hint="default" w:ascii="Times New Roman" w:hAnsi="Times New Roman" w:cs="Times New Roman"/>
                <w:color w:val="auto"/>
                <w:highlight w:val="none"/>
              </w:rPr>
            </w:pPr>
            <w:r>
              <w:rPr>
                <w:rFonts w:hint="default" w:ascii="Times New Roman" w:hAnsi="Times New Roman" w:cs="Times New Roman"/>
                <w:color w:val="auto"/>
                <w:highlight w:val="none"/>
              </w:rPr>
              <w:t>规划环评名称：《秦皇岛经济技术开发区总体规划环境影响跟踪评价报告书》</w:t>
            </w:r>
          </w:p>
          <w:p>
            <w:pPr>
              <w:autoSpaceDE w:val="0"/>
              <w:autoSpaceDN w:val="0"/>
              <w:adjustRightInd w:val="0"/>
              <w:snapToGrid w:val="0"/>
              <w:rPr>
                <w:rFonts w:hint="default" w:ascii="Times New Roman" w:hAnsi="Times New Roman" w:cs="Times New Roman"/>
                <w:color w:val="auto"/>
                <w:highlight w:val="none"/>
              </w:rPr>
            </w:pPr>
            <w:r>
              <w:rPr>
                <w:rFonts w:hint="default" w:ascii="Times New Roman" w:hAnsi="Times New Roman" w:cs="Times New Roman"/>
                <w:color w:val="auto"/>
                <w:highlight w:val="none"/>
              </w:rPr>
              <w:t>审批机关：生态环境部办公厅</w:t>
            </w:r>
          </w:p>
          <w:p>
            <w:pPr>
              <w:autoSpaceDE w:val="0"/>
              <w:autoSpaceDN w:val="0"/>
              <w:adjustRightInd w:val="0"/>
              <w:snapToGrid w:val="0"/>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审批文号：环办环评函[2019]252号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059" w:hRule="atLeast"/>
          <w:jc w:val="center"/>
        </w:trPr>
        <w:tc>
          <w:tcPr>
            <w:tcW w:w="520" w:type="dxa"/>
            <w:vAlign w:val="center"/>
          </w:tcPr>
          <w:p>
            <w:pPr>
              <w:autoSpaceDE w:val="0"/>
              <w:autoSpaceDN w:val="0"/>
              <w:adjustRightInd w:val="0"/>
              <w:snapToGrid w:val="0"/>
              <w:jc w:val="center"/>
              <w:rPr>
                <w:rFonts w:hint="default" w:ascii="Times New Roman" w:hAnsi="Times New Roman" w:cs="Times New Roman"/>
                <w:color w:val="auto"/>
                <w:highlight w:val="none"/>
              </w:rPr>
            </w:pPr>
          </w:p>
          <w:p>
            <w:pPr>
              <w:autoSpaceDE w:val="0"/>
              <w:autoSpaceDN w:val="0"/>
              <w:adjustRightInd w:val="0"/>
              <w:snapToGrid w:val="0"/>
              <w:jc w:val="center"/>
              <w:rPr>
                <w:rFonts w:hint="default" w:ascii="Times New Roman" w:hAnsi="Times New Roman" w:cs="Times New Roman"/>
                <w:color w:val="auto"/>
                <w:highlight w:val="none"/>
              </w:rPr>
            </w:pPr>
          </w:p>
          <w:p>
            <w:pPr>
              <w:pStyle w:val="30"/>
              <w:ind w:left="480" w:firstLine="480"/>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规划及规划环境</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影响评价符合性分析</w:t>
            </w: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autoSpaceDE w:val="0"/>
              <w:autoSpaceDN w:val="0"/>
              <w:adjustRightInd w:val="0"/>
              <w:snapToGrid w:val="0"/>
              <w:jc w:val="center"/>
              <w:rPr>
                <w:rFonts w:hint="default" w:ascii="Times New Roman" w:hAnsi="Times New Roman" w:cs="Times New Roman"/>
                <w:color w:val="auto"/>
                <w:highlight w:val="none"/>
              </w:rPr>
            </w:pPr>
          </w:p>
          <w:p>
            <w:pPr>
              <w:autoSpaceDE w:val="0"/>
              <w:autoSpaceDN w:val="0"/>
              <w:adjustRightInd w:val="0"/>
              <w:snapToGrid w:val="0"/>
              <w:jc w:val="center"/>
              <w:rPr>
                <w:rFonts w:hint="default" w:ascii="Times New Roman" w:hAnsi="Times New Roman" w:cs="Times New Roman"/>
                <w:color w:val="auto"/>
                <w:highlight w:val="none"/>
              </w:rPr>
            </w:pPr>
          </w:p>
          <w:p>
            <w:pPr>
              <w:pStyle w:val="30"/>
              <w:ind w:left="480" w:firstLine="480"/>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规划及规划环境</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影响评价符合性分析</w:t>
            </w: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10"/>
              <w:rPr>
                <w:rFonts w:hint="default"/>
                <w:color w:val="auto"/>
                <w:highlight w:val="none"/>
              </w:rPr>
            </w:pPr>
          </w:p>
          <w:p>
            <w:pPr>
              <w:autoSpaceDE w:val="0"/>
              <w:autoSpaceDN w:val="0"/>
              <w:adjustRightInd w:val="0"/>
              <w:snapToGrid w:val="0"/>
              <w:jc w:val="center"/>
              <w:rPr>
                <w:rFonts w:hint="default" w:ascii="Times New Roman" w:hAnsi="Times New Roman" w:cs="Times New Roman"/>
                <w:color w:val="auto"/>
                <w:highlight w:val="none"/>
              </w:rPr>
            </w:pPr>
          </w:p>
          <w:p>
            <w:pPr>
              <w:autoSpaceDE w:val="0"/>
              <w:autoSpaceDN w:val="0"/>
              <w:adjustRightInd w:val="0"/>
              <w:snapToGrid w:val="0"/>
              <w:jc w:val="center"/>
              <w:rPr>
                <w:rFonts w:hint="default" w:ascii="Times New Roman" w:hAnsi="Times New Roman" w:cs="Times New Roman"/>
                <w:color w:val="auto"/>
                <w:highlight w:val="none"/>
              </w:rPr>
            </w:pPr>
          </w:p>
          <w:p>
            <w:pPr>
              <w:pStyle w:val="30"/>
              <w:ind w:left="480" w:firstLine="480"/>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规划及规划环境</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影响评价符合性分析</w:t>
            </w: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8"/>
              <w:rPr>
                <w:rFonts w:hint="default"/>
                <w:color w:val="auto"/>
                <w:highlight w:val="none"/>
              </w:rPr>
            </w:pPr>
          </w:p>
          <w:p>
            <w:pPr>
              <w:pStyle w:val="6"/>
              <w:jc w:val="both"/>
              <w:rPr>
                <w:rFonts w:hint="default" w:ascii="Times New Roman" w:hAnsi="Times New Roman" w:cs="Times New Roman"/>
                <w:color w:val="auto"/>
                <w:highlight w:val="none"/>
              </w:rPr>
            </w:pPr>
          </w:p>
        </w:tc>
        <w:tc>
          <w:tcPr>
            <w:tcW w:w="8551" w:type="dxa"/>
            <w:gridSpan w:val="4"/>
            <w:vAlign w:val="center"/>
          </w:tcPr>
          <w:p>
            <w:pPr>
              <w:pStyle w:val="7"/>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 建设项目与相关规划</w:t>
            </w:r>
            <w:r>
              <w:rPr>
                <w:rFonts w:hint="eastAsia" w:cs="Times New Roman"/>
                <w:color w:val="auto"/>
                <w:highlight w:val="none"/>
                <w:lang w:val="en-US" w:eastAsia="zh-CN"/>
              </w:rPr>
              <w:t>及产业政策</w:t>
            </w:r>
            <w:r>
              <w:rPr>
                <w:rFonts w:hint="eastAsia" w:ascii="Times New Roman" w:hAnsi="Times New Roman" w:eastAsia="宋体" w:cs="Times New Roman"/>
                <w:color w:val="auto"/>
                <w:highlight w:val="none"/>
                <w:lang w:val="en-US" w:eastAsia="zh-CN"/>
              </w:rPr>
              <w:t>的符合性</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用地规划符合性：本项目位于河北省秦皇岛市经济技术开发区西区天山北路8号，依托公司现有土地进行本项目的建设。项目用地不属于《限制用地项目目录（2012年本）》和《禁止用地项目目录（2012年本）》的限制或禁止项目，符合国家及河北省秦皇岛市经济技术开发区土地政策要求和整体规划要求。</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国家及地方产业政策规划符合性：根据国家发改委令《产业结构调整指导目录（2019年本）》，本项目不属于限制类、淘汰类和鼓励类项目，属于允许类，符合国家现行产业政策。不属于《市场准入负面清单（2022年版）》中禁止准入类项目；不属于《河北省新增限制和淘汰类产业目录(2015年版)》及《秦皇岛市限制和禁止投资的产业目录（2020年修订版）》中列出的限制、淘汰类和禁止项目，项目建设符合国家及地方产业政策。</w:t>
            </w:r>
          </w:p>
          <w:p>
            <w:pPr>
              <w:pStyle w:val="7"/>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2建设项目与规划环评的符合性</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default" w:ascii="Times New Roman" w:hAnsi="Times New Roman" w:eastAsia="宋体" w:cs="Times New Roman"/>
                <w:color w:val="auto"/>
                <w:highlight w:val="none"/>
                <w:lang w:eastAsia="zh-CN"/>
              </w:rPr>
            </w:pPr>
            <w:r>
              <w:rPr>
                <w:rFonts w:hint="default"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lang w:val="en-US" w:eastAsia="zh-CN"/>
              </w:rPr>
              <w:t>1</w:t>
            </w:r>
            <w:r>
              <w:rPr>
                <w:rFonts w:hint="default" w:ascii="Times New Roman" w:hAnsi="Times New Roman" w:eastAsia="宋体" w:cs="Times New Roman"/>
                <w:color w:val="auto"/>
                <w:highlight w:val="none"/>
                <w:lang w:eastAsia="zh-CN"/>
              </w:rPr>
              <w:t>）规划范围：秦皇岛经济技术开发区规划范围为开发区西区，东起大汤河，西至深河，南至公富庄村北（现南岭国际小区），北至102国道，规划面积22.98k㎡。</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default" w:ascii="Times New Roman" w:hAnsi="Times New Roman" w:cs="Times New Roman"/>
                <w:color w:val="auto"/>
                <w:highlight w:val="none"/>
              </w:rPr>
            </w:pPr>
            <w:r>
              <w:rPr>
                <w:rFonts w:hint="default"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lang w:val="en-US" w:eastAsia="zh-CN"/>
              </w:rPr>
              <w:t>2</w:t>
            </w:r>
            <w:r>
              <w:rPr>
                <w:rFonts w:hint="default" w:ascii="Times New Roman" w:hAnsi="Times New Roman" w:eastAsia="宋体" w:cs="Times New Roman"/>
                <w:color w:val="auto"/>
                <w:highlight w:val="none"/>
                <w:lang w:eastAsia="zh-CN"/>
              </w:rPr>
              <w:t>）规划目标：开发区基本实现由扩张型向效益型、中技术型向高技术型、单一型向综合型转变，各项社会经济</w:t>
            </w:r>
            <w:r>
              <w:rPr>
                <w:rFonts w:hint="default" w:ascii="Times New Roman" w:hAnsi="Times New Roman" w:cs="Times New Roman"/>
                <w:color w:val="auto"/>
                <w:highlight w:val="none"/>
              </w:rPr>
              <w:t>指标达到国内一流强区的水平，形成以现代工业为基础，高新技术产业为主导的和谐园区和经济强区。环境污染和生态恶化得到有效控制，区域环境质量得到切实改善，生态环境趋向良性循环。</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3</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产业定位：</w:t>
            </w:r>
            <w:r>
              <w:rPr>
                <w:rFonts w:hint="default" w:ascii="Times New Roman" w:hAnsi="Times New Roman" w:cs="Times New Roman"/>
                <w:color w:val="auto"/>
                <w:kern w:val="0"/>
                <w:szCs w:val="21"/>
                <w:highlight w:val="none"/>
              </w:rPr>
              <w:t>区域重点发展现代制造业和以科研中心、软件中心、现代服务外包业等为代表的高附加值服务业、以玻璃和铝制品精深加工、工艺品制造、汽车零配件制造为代表的加工制造业、以新材料、电子信息、生物技术、环保及新能源、光电一体化为代表的高新技术产业</w:t>
            </w:r>
            <w:r>
              <w:rPr>
                <w:rFonts w:hint="default" w:ascii="Times New Roman" w:hAnsi="Times New Roman" w:cs="Times New Roman"/>
                <w:color w:val="auto"/>
                <w:highlight w:val="none"/>
              </w:rPr>
              <w:t>。</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lang w:val="en-US" w:eastAsia="zh-CN"/>
              </w:rPr>
              <w:t>4</w:t>
            </w: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准入要求如下：①不属于国家明令淘汰落后生产能力、工艺和产品，避免高污染高能耗的项目入区；②排放的主要污染物达到国家或地方规定的排放标准(或者总量指标)；③企业单位清洁生产水平要达到国内清洁生产先进水平；④危险废物安全处置率均达到100%；⑤环保设施要求能够稳定运转且运转率达到95%以上；⑥产品及其生产过程中不含有或使用国家法律、法规、标准中禁用的物质以及我国签署的国际公约中禁用的物质。</w:t>
            </w:r>
          </w:p>
          <w:p>
            <w:pPr>
              <w:keepNext w:val="0"/>
              <w:keepLines w:val="0"/>
              <w:pageBreakBefore w:val="0"/>
              <w:widowControl/>
              <w:kinsoku/>
              <w:wordWrap/>
              <w:overflowPunct/>
              <w:topLinePunct w:val="0"/>
              <w:autoSpaceDE/>
              <w:autoSpaceDN/>
              <w:bidi w:val="0"/>
              <w:snapToGrid/>
              <w:spacing w:line="336" w:lineRule="auto"/>
              <w:ind w:firstLine="480" w:firstLineChars="200"/>
              <w:textAlignment w:val="auto"/>
              <w:rPr>
                <w:rFonts w:hint="default" w:eastAsia="宋体"/>
                <w:color w:val="auto"/>
                <w:highlight w:val="none"/>
                <w:lang w:val="en-US" w:eastAsia="zh-CN"/>
              </w:rPr>
            </w:pPr>
            <w:r>
              <w:rPr>
                <w:rFonts w:hint="eastAsia" w:ascii="宋体" w:hAnsi="宋体" w:cs="宋体"/>
                <w:color w:val="auto"/>
                <w:kern w:val="0"/>
                <w:highlight w:val="none"/>
                <w:lang w:val="en-US" w:eastAsia="zh-CN"/>
              </w:rPr>
              <w:t>本项目符合性分析：（1）本项目位于天山北路8号，属于秦皇岛经济技术开发区西区范围内；（2）本项目为轮毂及铝制品加工、钢板加工业，属于加工制造业，符合产业定位；（3）本项目符合准入要求：①</w:t>
            </w:r>
            <w:r>
              <w:rPr>
                <w:rFonts w:hint="eastAsia" w:ascii="宋体" w:hAnsi="宋体" w:eastAsia="宋体" w:cs="宋体"/>
                <w:color w:val="auto"/>
                <w:kern w:val="0"/>
                <w:highlight w:val="none"/>
              </w:rPr>
              <w:t>项目</w:t>
            </w:r>
            <w:r>
              <w:rPr>
                <w:rFonts w:hint="default" w:ascii="Times New Roman" w:hAnsi="Times New Roman" w:cs="Times New Roman"/>
                <w:color w:val="auto"/>
                <w:kern w:val="0"/>
                <w:szCs w:val="21"/>
                <w:highlight w:val="none"/>
              </w:rPr>
              <w:t>不属于国家明令淘汰落后生产能力、工艺和产品，避免高污染高能耗的项目</w:t>
            </w:r>
            <w:r>
              <w:rPr>
                <w:rFonts w:hint="eastAsia" w:cs="Times New Roman"/>
                <w:color w:val="auto"/>
                <w:kern w:val="0"/>
                <w:szCs w:val="21"/>
                <w:highlight w:val="none"/>
                <w:lang w:eastAsia="zh-CN"/>
              </w:rPr>
              <w:t>；</w:t>
            </w:r>
            <w:r>
              <w:rPr>
                <w:rFonts w:hint="eastAsia" w:cs="Times New Roman"/>
                <w:color w:val="auto"/>
                <w:kern w:val="0"/>
                <w:szCs w:val="21"/>
                <w:highlight w:val="none"/>
                <w:lang w:val="en-US" w:eastAsia="zh-CN"/>
              </w:rPr>
              <w:t>②本项目无新增生产、生活废水排放；不新增废气产生；本项目对生产设备安装减震基础，经建筑隔声和距离衰减后厂界可达标排放；项目产生的固体废物合理处置；③目前国家尚未颁布本产品的清洁生产行业标准，项目生产工艺不属于限制类和淘汰类，符合国家产业政策；项目环境管理要求应符合国家和地方有关法律、法规要求，污染物排放达到国家、地方以及行业标准要求；建立健全专门环境管理机构和有专职管理人员，开展环保和清洁生产有关工作；④生产过程中产生废导轨油桶、废切削液、废切削液桶暂存危险废物暂存间后交由有资质单位进行处置；⑤本项目环保设施按照环评提出要求进行装备并定期巡视，可保证环保设施能够稳定运转且运转率达</w:t>
            </w:r>
            <w:r>
              <w:rPr>
                <w:rFonts w:hint="default" w:ascii="Times New Roman" w:hAnsi="Times New Roman" w:cs="Times New Roman"/>
                <w:color w:val="auto"/>
                <w:kern w:val="0"/>
                <w:szCs w:val="21"/>
                <w:highlight w:val="none"/>
                <w:lang w:val="en-US" w:eastAsia="zh-CN"/>
              </w:rPr>
              <w:t>到95%</w:t>
            </w:r>
            <w:r>
              <w:rPr>
                <w:rFonts w:hint="eastAsia" w:cs="Times New Roman"/>
                <w:color w:val="auto"/>
                <w:kern w:val="0"/>
                <w:szCs w:val="21"/>
                <w:highlight w:val="none"/>
                <w:lang w:val="en-US" w:eastAsia="zh-CN"/>
              </w:rPr>
              <w:t>以上；⑥运行过程中不含有或使用国家法律、法规、标准中禁用的物质。</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（5）项目与园区规划环境影响评价结论及审查意见的符合性</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①根据跟踪环境影响评价报告书的发展定位和目标，进一步优化园区产业定位、布局、结构、规模等，积极推进产业绿色转型升级，持续改善和提升区域环境质量。</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②落实园区产业定位和管控要求，结合下一阶段园区总体规划对不符合园区产业定位和布局要求的企业依法进行清退或优化整合，不再引进与园区规划定位和区域环境管控要求不符的建设项目。</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default"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本项目为</w:t>
            </w:r>
            <w:r>
              <w:rPr>
                <w:rFonts w:hint="eastAsia"/>
                <w:color w:val="auto"/>
                <w:sz w:val="24"/>
                <w:highlight w:val="none"/>
                <w:lang w:val="en-US" w:eastAsia="zh-CN"/>
              </w:rPr>
              <w:t>金属结构制造、汽车零部件及配件制造</w:t>
            </w:r>
            <w:r>
              <w:rPr>
                <w:rFonts w:hint="eastAsia" w:ascii="Times New Roman" w:hAnsi="Times New Roman" w:eastAsia="宋体" w:cs="Times New Roman"/>
                <w:color w:val="auto"/>
                <w:kern w:val="0"/>
                <w:szCs w:val="21"/>
                <w:highlight w:val="none"/>
                <w:lang w:val="en-US" w:eastAsia="zh-CN"/>
              </w:rPr>
              <w:t>，产业定位与规划主导产业无明显冲突，符合开发区产业布局规划。</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③严格遵守秦皇岛市“三线一单”及国土空间规划要求，按照“优先保障生态空间，集约利用生产空间”原则，进一步优化园区产业布局，做好规划控制，提高土地集约利用水平。优化生产、生活、生态等功能的空间布局，强化开发边界管制。加快调整与规划不符的生产、生活用地布局，后续开发建设应符合相关保护要求。严格落实规划环评与建设项目环评的联动机制，落实生态环境准入要求。</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default"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本项目符合相关规划要求，符合生态环境准入要求。</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④加强园区基础设施建设，深入推进园区绿色循环化改造，加强工业水循环利用和节能降耗。加快中水回用工程建设，提高中水回用率。提高能源资源利用效率，进一步提升园区集中供热水平，清洁生产应达到国际先进水平。</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本项目不新增废水排放。</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⑤强化园区环保基础设施建设和污染防治。加快园区环保设施优化升级，提升污染治理水平，强化区域大气、水、土壤环境等污染治理。</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default"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本项目不涉及废气，不涉及土壤、地下水影响。对环境影响较小。</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⑥完善园区环境监测体系。结合园区规划的功能分区、产业布局、重点企业分布、特征污染物的排放种类和状况、生态环境敏感目标分布等，建立健全环境空气、地表水、地下水、土壤等环境要素的监控体系，明确环保投资、实施时限、责任主体等。</w:t>
            </w:r>
          </w:p>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leftChars="0" w:firstLine="480" w:firstLineChars="200"/>
              <w:jc w:val="both"/>
              <w:textAlignment w:val="auto"/>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本项目制定监测计划，按要求开展相关环境要素的监控。</w:t>
            </w:r>
          </w:p>
          <w:p>
            <w:pPr>
              <w:widowControl/>
              <w:spacing w:line="360" w:lineRule="auto"/>
              <w:ind w:firstLine="480" w:firstLineChars="200"/>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综上，本项目符合入区项目准入要求。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042" w:hRule="atLeast"/>
          <w:jc w:val="center"/>
        </w:trPr>
        <w:tc>
          <w:tcPr>
            <w:tcW w:w="520" w:type="dxa"/>
            <w:vAlign w:val="center"/>
          </w:tcPr>
          <w:p>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left"/>
              <w:textAlignment w:val="auto"/>
              <w:rPr>
                <w:rFonts w:hint="default" w:ascii="Times New Roman" w:hAnsi="Times New Roman" w:cs="Times New Roman"/>
                <w:b/>
                <w:bCs/>
                <w:color w:val="auto"/>
                <w:kern w:val="0"/>
                <w:szCs w:val="21"/>
                <w:highlight w:val="none"/>
              </w:rPr>
            </w:pPr>
          </w:p>
          <w:p>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left"/>
              <w:textAlignment w:val="auto"/>
              <w:rPr>
                <w:rFonts w:hint="default" w:ascii="Times New Roman" w:hAnsi="Times New Roman" w:cs="Times New Roman"/>
                <w:b/>
                <w:bCs/>
                <w:color w:val="auto"/>
                <w:kern w:val="0"/>
                <w:szCs w:val="21"/>
                <w:highlight w:val="none"/>
              </w:rPr>
            </w:pPr>
          </w:p>
          <w:p>
            <w:pPr>
              <w:pStyle w:val="30"/>
              <w:keepNext w:val="0"/>
              <w:keepLines w:val="0"/>
              <w:pageBreakBefore w:val="0"/>
              <w:widowControl w:val="0"/>
              <w:kinsoku/>
              <w:wordWrap/>
              <w:overflowPunct/>
              <w:topLinePunct w:val="0"/>
              <w:bidi w:val="0"/>
              <w:ind w:left="0" w:leftChars="0" w:firstLine="0" w:firstLineChars="0"/>
              <w:jc w:val="left"/>
              <w:textAlignment w:val="auto"/>
              <w:rPr>
                <w:rFonts w:hint="default" w:ascii="Times New Roman" w:hAnsi="Times New Roman" w:cs="Times New Roman"/>
                <w:b/>
                <w:bCs/>
                <w:color w:val="auto"/>
                <w:kern w:val="0"/>
                <w:szCs w:val="21"/>
                <w:highlight w:val="none"/>
              </w:rPr>
            </w:pPr>
          </w:p>
          <w:p>
            <w:pPr>
              <w:keepNext w:val="0"/>
              <w:keepLines w:val="0"/>
              <w:pageBreakBefore w:val="0"/>
              <w:widowControl w:val="0"/>
              <w:kinsoku/>
              <w:wordWrap/>
              <w:overflowPunct/>
              <w:topLinePunct w:val="0"/>
              <w:bidi w:val="0"/>
              <w:ind w:left="0" w:leftChars="0" w:firstLine="0" w:firstLineChars="0"/>
              <w:jc w:val="left"/>
              <w:textAlignment w:val="auto"/>
              <w:rPr>
                <w:rFonts w:hint="default" w:ascii="Times New Roman" w:hAnsi="Times New Roman" w:cs="Times New Roman"/>
                <w:b/>
                <w:bCs/>
                <w:color w:val="auto"/>
                <w:kern w:val="0"/>
                <w:szCs w:val="21"/>
                <w:highlight w:val="none"/>
              </w:rPr>
            </w:pPr>
          </w:p>
          <w:p>
            <w:pPr>
              <w:pStyle w:val="30"/>
              <w:keepNext w:val="0"/>
              <w:keepLines w:val="0"/>
              <w:pageBreakBefore w:val="0"/>
              <w:widowControl w:val="0"/>
              <w:kinsoku/>
              <w:wordWrap/>
              <w:overflowPunct/>
              <w:topLinePunct w:val="0"/>
              <w:bidi w:val="0"/>
              <w:ind w:left="0" w:leftChars="0" w:firstLine="0" w:firstLineChars="0"/>
              <w:jc w:val="left"/>
              <w:textAlignment w:val="auto"/>
              <w:rPr>
                <w:rFonts w:hint="default" w:ascii="Times New Roman" w:hAnsi="Times New Roman" w:cs="Times New Roman"/>
                <w:b/>
                <w:bCs/>
                <w:color w:val="auto"/>
                <w:kern w:val="0"/>
                <w:szCs w:val="21"/>
                <w:highlight w:val="none"/>
              </w:rPr>
            </w:pPr>
          </w:p>
          <w:p>
            <w:pPr>
              <w:keepNext w:val="0"/>
              <w:keepLines w:val="0"/>
              <w:pageBreakBefore w:val="0"/>
              <w:widowControl w:val="0"/>
              <w:kinsoku/>
              <w:wordWrap/>
              <w:overflowPunct/>
              <w:topLinePunct w:val="0"/>
              <w:bidi w:val="0"/>
              <w:ind w:left="0" w:leftChars="0" w:firstLine="0" w:firstLineChars="0"/>
              <w:jc w:val="left"/>
              <w:textAlignment w:val="auto"/>
              <w:rPr>
                <w:rFonts w:hint="default" w:ascii="Times New Roman" w:hAnsi="Times New Roman" w:cs="Times New Roman"/>
                <w:b/>
                <w:bCs/>
                <w:color w:val="auto"/>
                <w:kern w:val="0"/>
                <w:szCs w:val="21"/>
                <w:highlight w:val="none"/>
              </w:rPr>
            </w:pPr>
          </w:p>
          <w:p>
            <w:pPr>
              <w:pStyle w:val="30"/>
              <w:keepNext w:val="0"/>
              <w:keepLines w:val="0"/>
              <w:pageBreakBefore w:val="0"/>
              <w:widowControl w:val="0"/>
              <w:kinsoku/>
              <w:wordWrap/>
              <w:overflowPunct/>
              <w:topLinePunct w:val="0"/>
              <w:bidi w:val="0"/>
              <w:ind w:left="0" w:leftChars="0" w:firstLine="0" w:firstLineChars="0"/>
              <w:jc w:val="left"/>
              <w:textAlignment w:val="auto"/>
              <w:rPr>
                <w:rFonts w:hint="default" w:ascii="Times New Roman" w:hAnsi="Times New Roman" w:cs="Times New Roman"/>
                <w:b/>
                <w:bCs/>
                <w:color w:val="auto"/>
                <w:kern w:val="0"/>
                <w:szCs w:val="21"/>
                <w:highlight w:val="none"/>
              </w:rPr>
            </w:pPr>
          </w:p>
          <w:p>
            <w:pPr>
              <w:keepNext w:val="0"/>
              <w:keepLines w:val="0"/>
              <w:pageBreakBefore w:val="0"/>
              <w:widowControl w:val="0"/>
              <w:kinsoku/>
              <w:wordWrap/>
              <w:overflowPunct/>
              <w:topLinePunct w:val="0"/>
              <w:bidi w:val="0"/>
              <w:ind w:left="0" w:leftChars="0" w:firstLine="0" w:firstLineChars="0"/>
              <w:jc w:val="left"/>
              <w:textAlignment w:val="auto"/>
              <w:rPr>
                <w:rFonts w:hint="default" w:ascii="Times New Roman" w:hAnsi="Times New Roman" w:cs="Times New Roman"/>
                <w:b/>
                <w:bCs/>
                <w:color w:val="auto"/>
                <w:kern w:val="0"/>
                <w:szCs w:val="21"/>
                <w:highlight w:val="none"/>
              </w:rPr>
            </w:pPr>
          </w:p>
          <w:p>
            <w:pPr>
              <w:pStyle w:val="30"/>
              <w:keepNext w:val="0"/>
              <w:keepLines w:val="0"/>
              <w:pageBreakBefore w:val="0"/>
              <w:widowControl w:val="0"/>
              <w:kinsoku/>
              <w:wordWrap/>
              <w:overflowPunct/>
              <w:topLinePunct w:val="0"/>
              <w:bidi w:val="0"/>
              <w:ind w:left="0" w:leftChars="0" w:firstLine="0" w:firstLineChars="0"/>
              <w:jc w:val="left"/>
              <w:textAlignment w:val="auto"/>
              <w:rPr>
                <w:rFonts w:hint="default" w:ascii="Times New Roman" w:hAnsi="Times New Roman" w:cs="Times New Roman"/>
                <w:color w:val="auto"/>
                <w:highlight w:val="none"/>
              </w:rPr>
            </w:pPr>
          </w:p>
          <w:p>
            <w:pPr>
              <w:keepNext w:val="0"/>
              <w:keepLines w:val="0"/>
              <w:pageBreakBefore w:val="0"/>
              <w:widowControl w:val="0"/>
              <w:kinsoku/>
              <w:wordWrap/>
              <w:overflowPunct/>
              <w:topLinePunct w:val="0"/>
              <w:bidi w:val="0"/>
              <w:ind w:left="0" w:leftChars="0" w:firstLine="0" w:firstLineChars="0"/>
              <w:jc w:val="left"/>
              <w:textAlignment w:val="auto"/>
              <w:rPr>
                <w:rFonts w:hint="default" w:ascii="Times New Roman" w:hAnsi="Times New Roman" w:cs="Times New Roman"/>
                <w:color w:val="auto"/>
                <w:highlight w:val="none"/>
              </w:rPr>
            </w:pPr>
          </w:p>
          <w:p>
            <w:pPr>
              <w:pStyle w:val="5"/>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left"/>
              <w:textAlignment w:val="auto"/>
              <w:rPr>
                <w:rFonts w:hint="default" w:ascii="Times New Roman" w:hAnsi="Times New Roman" w:cs="Times New Roman"/>
                <w:b/>
                <w:bCs/>
                <w:color w:val="auto"/>
                <w:kern w:val="0"/>
                <w:szCs w:val="21"/>
                <w:highlight w:val="none"/>
              </w:rPr>
            </w:pPr>
            <w:r>
              <w:rPr>
                <w:rFonts w:hint="default" w:ascii="Times New Roman" w:hAnsi="Times New Roman" w:cs="Times New Roman"/>
                <w:b/>
                <w:bCs/>
                <w:color w:val="auto"/>
                <w:kern w:val="0"/>
                <w:szCs w:val="21"/>
                <w:highlight w:val="none"/>
              </w:rPr>
              <w:t>其他符合性分析</w:t>
            </w:r>
          </w:p>
          <w:p>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left"/>
              <w:textAlignment w:val="auto"/>
              <w:rPr>
                <w:rFonts w:hint="default" w:ascii="Times New Roman" w:hAnsi="Times New Roman" w:cs="Times New Roman"/>
                <w:b/>
                <w:bCs/>
                <w:color w:val="auto"/>
                <w:kern w:val="0"/>
                <w:szCs w:val="21"/>
                <w:highlight w:val="none"/>
              </w:rPr>
            </w:pPr>
          </w:p>
          <w:p>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left"/>
              <w:textAlignment w:val="auto"/>
              <w:rPr>
                <w:rFonts w:hint="default" w:ascii="Times New Roman" w:hAnsi="Times New Roman" w:cs="Times New Roman"/>
                <w:b/>
                <w:bCs/>
                <w:color w:val="auto"/>
                <w:kern w:val="0"/>
                <w:szCs w:val="21"/>
                <w:highlight w:val="none"/>
              </w:rPr>
            </w:pPr>
          </w:p>
          <w:p>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left"/>
              <w:textAlignment w:val="auto"/>
              <w:rPr>
                <w:rFonts w:hint="default" w:ascii="Times New Roman" w:hAnsi="Times New Roman" w:cs="Times New Roman"/>
                <w:b/>
                <w:bCs/>
                <w:color w:val="auto"/>
                <w:kern w:val="0"/>
                <w:szCs w:val="21"/>
                <w:highlight w:val="none"/>
              </w:rPr>
            </w:pPr>
          </w:p>
          <w:p>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left"/>
              <w:textAlignment w:val="auto"/>
              <w:rPr>
                <w:rFonts w:hint="default" w:ascii="Times New Roman" w:hAnsi="Times New Roman" w:cs="Times New Roman"/>
                <w:b/>
                <w:bCs/>
                <w:color w:val="auto"/>
                <w:kern w:val="0"/>
                <w:szCs w:val="21"/>
                <w:highlight w:val="none"/>
              </w:rPr>
            </w:pPr>
          </w:p>
          <w:p>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left"/>
              <w:textAlignment w:val="auto"/>
              <w:rPr>
                <w:rFonts w:hint="default" w:ascii="Times New Roman" w:hAnsi="Times New Roman" w:cs="Times New Roman"/>
                <w:b/>
                <w:bCs/>
                <w:color w:val="auto"/>
                <w:kern w:val="0"/>
                <w:szCs w:val="21"/>
                <w:highlight w:val="none"/>
              </w:rPr>
            </w:pPr>
          </w:p>
          <w:p>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left"/>
              <w:textAlignment w:val="auto"/>
              <w:rPr>
                <w:rFonts w:hint="default" w:ascii="Times New Roman" w:hAnsi="Times New Roman" w:cs="Times New Roman"/>
                <w:b/>
                <w:bCs/>
                <w:color w:val="auto"/>
                <w:kern w:val="0"/>
                <w:szCs w:val="21"/>
                <w:highlight w:val="none"/>
              </w:rPr>
            </w:pPr>
          </w:p>
          <w:p>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left"/>
              <w:textAlignment w:val="auto"/>
              <w:rPr>
                <w:rFonts w:hint="default" w:ascii="Times New Roman" w:hAnsi="Times New Roman" w:cs="Times New Roman"/>
                <w:b/>
                <w:bCs/>
                <w:color w:val="auto"/>
                <w:kern w:val="0"/>
                <w:szCs w:val="21"/>
                <w:highlight w:val="none"/>
              </w:rPr>
            </w:pPr>
          </w:p>
          <w:p>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left"/>
              <w:textAlignment w:val="auto"/>
              <w:rPr>
                <w:rFonts w:hint="default" w:ascii="Times New Roman" w:hAnsi="Times New Roman" w:cs="Times New Roman"/>
                <w:b/>
                <w:bCs/>
                <w:color w:val="auto"/>
                <w:kern w:val="0"/>
                <w:szCs w:val="21"/>
                <w:highlight w:val="none"/>
              </w:rPr>
            </w:pPr>
          </w:p>
          <w:p>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left"/>
              <w:textAlignment w:val="auto"/>
              <w:rPr>
                <w:rFonts w:hint="default" w:ascii="Times New Roman" w:hAnsi="Times New Roman" w:cs="Times New Roman"/>
                <w:b/>
                <w:bCs/>
                <w:color w:val="auto"/>
                <w:kern w:val="0"/>
                <w:szCs w:val="21"/>
                <w:highlight w:val="none"/>
              </w:rPr>
            </w:pPr>
          </w:p>
          <w:p>
            <w:pPr>
              <w:autoSpaceDE w:val="0"/>
              <w:autoSpaceDN w:val="0"/>
              <w:adjustRightInd w:val="0"/>
              <w:snapToGrid w:val="0"/>
              <w:jc w:val="center"/>
              <w:rPr>
                <w:rFonts w:hint="default" w:ascii="Times New Roman" w:hAnsi="Times New Roman" w:cs="Times New Roman"/>
                <w:b/>
                <w:bCs/>
                <w:color w:val="auto"/>
                <w:kern w:val="0"/>
                <w:szCs w:val="21"/>
                <w:highlight w:val="none"/>
              </w:rPr>
            </w:pPr>
          </w:p>
          <w:p>
            <w:pPr>
              <w:autoSpaceDE w:val="0"/>
              <w:autoSpaceDN w:val="0"/>
              <w:adjustRightInd w:val="0"/>
              <w:snapToGrid w:val="0"/>
              <w:jc w:val="center"/>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pStyle w:val="30"/>
              <w:keepLines w:val="0"/>
              <w:pageBreakBefore w:val="0"/>
              <w:widowControl w:val="0"/>
              <w:kinsoku/>
              <w:wordWrap/>
              <w:topLinePunct w:val="0"/>
              <w:bidi w:val="0"/>
              <w:spacing w:after="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pStyle w:val="30"/>
              <w:keepLines w:val="0"/>
              <w:pageBreakBefore w:val="0"/>
              <w:widowControl w:val="0"/>
              <w:kinsoku/>
              <w:wordWrap/>
              <w:topLinePunct w:val="0"/>
              <w:bidi w:val="0"/>
              <w:spacing w:after="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pStyle w:val="30"/>
              <w:keepLines w:val="0"/>
              <w:pageBreakBefore w:val="0"/>
              <w:widowControl w:val="0"/>
              <w:kinsoku/>
              <w:wordWrap/>
              <w:topLinePunct w:val="0"/>
              <w:bidi w:val="0"/>
              <w:spacing w:after="0"/>
              <w:ind w:left="0" w:leftChars="0" w:firstLine="0" w:firstLineChars="0"/>
              <w:jc w:val="center"/>
              <w:textAlignment w:val="auto"/>
              <w:rPr>
                <w:rFonts w:hint="default" w:ascii="Times New Roman" w:hAnsi="Times New Roman" w:cs="Times New Roman"/>
                <w:color w:val="auto"/>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rPr>
                <w:rFonts w:hint="default" w:ascii="Times New Roman" w:hAnsi="Times New Roman" w:eastAsia="宋体" w:cs="Times New Roman"/>
                <w:b/>
                <w:color w:val="auto"/>
                <w:kern w:val="0"/>
                <w:szCs w:val="21"/>
                <w:highlight w:val="none"/>
              </w:rPr>
            </w:pPr>
          </w:p>
          <w:p>
            <w:pPr>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r>
              <w:rPr>
                <w:rFonts w:hint="default" w:ascii="Times New Roman" w:hAnsi="Times New Roman" w:cs="Times New Roman"/>
                <w:b/>
                <w:bCs/>
                <w:color w:val="auto"/>
                <w:kern w:val="0"/>
                <w:szCs w:val="21"/>
                <w:highlight w:val="none"/>
              </w:rPr>
              <w:t>其他符合性分析</w:t>
            </w: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rPr>
                <w:rFonts w:hint="default" w:ascii="Times New Roman" w:hAnsi="Times New Roman" w:cs="Times New Roman"/>
                <w:color w:val="auto"/>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both"/>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r>
              <w:rPr>
                <w:rFonts w:hint="default" w:ascii="Times New Roman" w:hAnsi="Times New Roman" w:cs="Times New Roman"/>
                <w:b/>
                <w:bCs/>
                <w:color w:val="auto"/>
                <w:kern w:val="0"/>
                <w:szCs w:val="21"/>
                <w:highlight w:val="none"/>
              </w:rPr>
              <w:t>其他符合性分析</w:t>
            </w: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color w:val="auto"/>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rPr>
                <w:rFonts w:hint="default" w:ascii="Times New Roman" w:hAnsi="Times New Roman" w:cs="Times New Roman"/>
                <w:b/>
                <w:bCs/>
                <w:color w:val="auto"/>
                <w:kern w:val="0"/>
                <w:szCs w:val="21"/>
                <w:highlight w:val="none"/>
              </w:rPr>
            </w:pPr>
          </w:p>
          <w:p>
            <w:pPr>
              <w:rPr>
                <w:rFonts w:hint="default" w:ascii="Times New Roman" w:hAnsi="Times New Roman" w:cs="Times New Roman"/>
                <w:color w:val="auto"/>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both"/>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r>
              <w:rPr>
                <w:rFonts w:hint="default" w:ascii="Times New Roman" w:hAnsi="Times New Roman" w:cs="Times New Roman"/>
                <w:b/>
                <w:bCs/>
                <w:color w:val="auto"/>
                <w:kern w:val="0"/>
                <w:szCs w:val="21"/>
                <w:highlight w:val="none"/>
              </w:rPr>
              <w:t>其他符合性分析</w:t>
            </w: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r>
              <w:rPr>
                <w:rFonts w:hint="default" w:ascii="Times New Roman" w:hAnsi="Times New Roman" w:cs="Times New Roman"/>
                <w:b/>
                <w:bCs/>
                <w:color w:val="auto"/>
                <w:kern w:val="0"/>
                <w:szCs w:val="21"/>
                <w:highlight w:val="none"/>
              </w:rPr>
              <w:t>其他符合性分析</w:t>
            </w: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40"/>
              <w:rPr>
                <w:rFonts w:hint="default"/>
                <w:color w:val="auto"/>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r>
              <w:rPr>
                <w:rFonts w:hint="default" w:ascii="Times New Roman" w:hAnsi="Times New Roman" w:cs="Times New Roman"/>
                <w:b/>
                <w:bCs/>
                <w:color w:val="auto"/>
                <w:kern w:val="0"/>
                <w:szCs w:val="21"/>
                <w:highlight w:val="none"/>
              </w:rPr>
              <w:t>其他符合性分析</w:t>
            </w: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both"/>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r>
              <w:rPr>
                <w:rFonts w:hint="default" w:ascii="Times New Roman" w:hAnsi="Times New Roman" w:cs="Times New Roman"/>
                <w:b/>
                <w:bCs/>
                <w:color w:val="auto"/>
                <w:kern w:val="0"/>
                <w:szCs w:val="21"/>
                <w:highlight w:val="none"/>
              </w:rPr>
              <w:t>其他符合性分析</w:t>
            </w: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keepLines w:val="0"/>
              <w:pageBreakBefore w:val="0"/>
              <w:widowControl w:val="0"/>
              <w:kinsoku/>
              <w:wordWrap/>
              <w:topLinePunct w:val="0"/>
              <w:bidi w:val="0"/>
              <w:ind w:left="0" w:leftChars="0" w:firstLine="0" w:firstLineChars="0"/>
              <w:jc w:val="center"/>
              <w:textAlignment w:val="auto"/>
              <w:rPr>
                <w:rFonts w:hint="default" w:ascii="Times New Roman" w:hAnsi="Times New Roman" w:cs="Times New Roman"/>
                <w:b/>
                <w:bCs/>
                <w:color w:val="auto"/>
                <w:kern w:val="0"/>
                <w:szCs w:val="21"/>
                <w:highlight w:val="none"/>
              </w:rPr>
            </w:pPr>
          </w:p>
          <w:p>
            <w:pPr>
              <w:pStyle w:val="5"/>
              <w:keepLines w:val="0"/>
              <w:pageBreakBefore w:val="0"/>
              <w:widowControl w:val="0"/>
              <w:kinsoku/>
              <w:wordWrap/>
              <w:topLinePunct w:val="0"/>
              <w:bidi w:val="0"/>
              <w:ind w:left="0" w:leftChars="0" w:firstLine="0" w:firstLineChars="0"/>
              <w:jc w:val="center"/>
              <w:textAlignment w:val="auto"/>
              <w:rPr>
                <w:rFonts w:hint="default" w:ascii="Times New Roman" w:hAnsi="Times New Roman" w:eastAsia="宋体" w:cs="Times New Roman"/>
                <w:b/>
                <w:color w:val="auto"/>
                <w:kern w:val="0"/>
                <w:szCs w:val="21"/>
                <w:highlight w:val="none"/>
              </w:rPr>
            </w:pPr>
          </w:p>
          <w:p>
            <w:pPr>
              <w:keepLines w:val="0"/>
              <w:pageBreakBefore w:val="0"/>
              <w:widowControl w:val="0"/>
              <w:kinsoku/>
              <w:wordWrap/>
              <w:topLinePunct w:val="0"/>
              <w:bidi w:val="0"/>
              <w:ind w:left="0" w:leftChars="0" w:firstLine="0" w:firstLineChars="0"/>
              <w:jc w:val="both"/>
              <w:textAlignment w:val="auto"/>
              <w:rPr>
                <w:rFonts w:hint="default" w:ascii="Times New Roman" w:hAnsi="Times New Roman" w:cs="Times New Roman"/>
                <w:b/>
                <w:bCs/>
                <w:color w:val="auto"/>
                <w:kern w:val="0"/>
                <w:szCs w:val="21"/>
                <w:highlight w:val="none"/>
              </w:rPr>
            </w:pPr>
          </w:p>
        </w:tc>
        <w:tc>
          <w:tcPr>
            <w:tcW w:w="8551" w:type="dxa"/>
            <w:gridSpan w:val="4"/>
            <w:vAlign w:val="center"/>
          </w:tcPr>
          <w:p>
            <w:pPr>
              <w:pStyle w:val="7"/>
              <w:rPr>
                <w:rFonts w:hint="default"/>
                <w:color w:val="auto"/>
                <w:highlight w:val="none"/>
              </w:rPr>
            </w:pPr>
            <w:r>
              <w:rPr>
                <w:rFonts w:hint="default"/>
                <w:color w:val="auto"/>
                <w:highlight w:val="none"/>
              </w:rPr>
              <w:t>1 “三线一单”符合性</w:t>
            </w:r>
          </w:p>
          <w:p>
            <w:pPr>
              <w:autoSpaceDE w:val="0"/>
              <w:autoSpaceDN w:val="0"/>
              <w:adjustRightInd w:val="0"/>
              <w:snapToGrid w:val="0"/>
              <w:ind w:firstLine="480" w:firstLineChars="200"/>
              <w:rPr>
                <w:rFonts w:hint="default"/>
                <w:color w:val="auto"/>
                <w:highlight w:val="none"/>
              </w:rPr>
            </w:pPr>
            <w:r>
              <w:rPr>
                <w:rFonts w:hint="default"/>
                <w:color w:val="auto"/>
                <w:highlight w:val="none"/>
              </w:rPr>
              <w:t>根据</w:t>
            </w:r>
            <w:r>
              <w:rPr>
                <w:rFonts w:hint="eastAsia"/>
                <w:color w:val="auto"/>
                <w:highlight w:val="none"/>
                <w:lang w:val="en-US" w:eastAsia="zh-CN"/>
              </w:rPr>
              <w:t>生态环境部</w:t>
            </w:r>
            <w:r>
              <w:rPr>
                <w:rFonts w:hint="default"/>
                <w:color w:val="auto"/>
                <w:highlight w:val="none"/>
              </w:rPr>
              <w:t>于2016年7月15日印发《“十三五”环境影响评价改革实施方案》（环环评[2016]95号）及2016年10月27日印发《关于以改善环境质量为核心加强环境影响评价管理的通知》（环环评[2016]150号），环境影响评价落实“生态保护红线、环境质量底线、资源利用上线和环境准入负面清单”约束。</w:t>
            </w:r>
          </w:p>
          <w:p>
            <w:pPr>
              <w:autoSpaceDE w:val="0"/>
              <w:autoSpaceDN w:val="0"/>
              <w:adjustRightInd w:val="0"/>
              <w:snapToGrid w:val="0"/>
              <w:ind w:firstLine="480" w:firstLineChars="200"/>
              <w:jc w:val="both"/>
              <w:rPr>
                <w:rFonts w:hint="default"/>
                <w:color w:val="auto"/>
                <w:highlight w:val="none"/>
              </w:rPr>
            </w:pPr>
            <w:r>
              <w:rPr>
                <w:rFonts w:hint="default"/>
                <w:color w:val="auto"/>
                <w:highlight w:val="none"/>
              </w:rPr>
              <w:t>（1）</w:t>
            </w:r>
            <w:r>
              <w:rPr>
                <w:rFonts w:hint="eastAsia"/>
                <w:color w:val="auto"/>
                <w:highlight w:val="none"/>
                <w:lang w:val="en-US" w:eastAsia="zh-CN"/>
              </w:rPr>
              <w:t>生态保护红线：</w:t>
            </w:r>
            <w:r>
              <w:rPr>
                <w:rFonts w:hint="default"/>
                <w:color w:val="auto"/>
                <w:highlight w:val="none"/>
              </w:rPr>
              <w:t>根据经河北省人民政府发布的《河北省生态保护红线》（冀政字[2018]23号），秦皇岛生态保护范围为秦皇岛市中北部山区，主要保护内容为：森林生态系统、珍稀野生动植物栖息地与集中分布区、内陆河流、淡水湿地生态系统、海岸海域生态系统与沿海防护林。本项目位于</w:t>
            </w:r>
            <w:r>
              <w:rPr>
                <w:rFonts w:hint="eastAsia"/>
                <w:color w:val="auto"/>
                <w:highlight w:val="none"/>
                <w:lang w:val="en-US" w:eastAsia="zh-CN"/>
              </w:rPr>
              <w:t>秦皇岛经济技术开发区天山北路8号</w:t>
            </w:r>
            <w:r>
              <w:rPr>
                <w:rFonts w:hint="default"/>
                <w:color w:val="auto"/>
                <w:highlight w:val="none"/>
              </w:rPr>
              <w:t>，所在区域不属于具有重要水源涵养、生物多样性维护、水土保持、防风固沙、海岸生态稳定等功能的生态功能重要区域，以及水土流失、土地沙化、石漠化、盐渍化等生态环境敏感脆弱区域。因此，项目不在秦皇岛市生态红线范围内，满足生态红线要求；本项目与生态保护红线位置关系见下图：</w:t>
            </w:r>
          </w:p>
          <w:p>
            <w:pPr>
              <w:pStyle w:val="5"/>
              <w:rPr>
                <w:rFonts w:hint="eastAsia" w:eastAsia="黑体"/>
                <w:color w:val="auto"/>
                <w:highlight w:val="none"/>
                <w:lang w:eastAsia="zh-CN"/>
              </w:rPr>
            </w:pPr>
            <w:r>
              <w:rPr>
                <w:color w:val="auto"/>
                <w:sz w:val="30"/>
                <w:highlight w:val="none"/>
              </w:rPr>
              <mc:AlternateContent>
                <mc:Choice Requires="wps">
                  <w:drawing>
                    <wp:anchor distT="0" distB="0" distL="114300" distR="114300" simplePos="0" relativeHeight="251663360" behindDoc="0" locked="0" layoutInCell="1" allowOverlap="1">
                      <wp:simplePos x="0" y="0"/>
                      <wp:positionH relativeFrom="column">
                        <wp:posOffset>4077335</wp:posOffset>
                      </wp:positionH>
                      <wp:positionV relativeFrom="paragraph">
                        <wp:posOffset>5716270</wp:posOffset>
                      </wp:positionV>
                      <wp:extent cx="817880" cy="314960"/>
                      <wp:effectExtent l="76835" t="14605" r="19685" b="375285"/>
                      <wp:wrapNone/>
                      <wp:docPr id="73" name="圆角矩形标注 73"/>
                      <wp:cNvGraphicFramePr/>
                      <a:graphic xmlns:a="http://schemas.openxmlformats.org/drawingml/2006/main">
                        <a:graphicData uri="http://schemas.microsoft.com/office/word/2010/wordprocessingShape">
                          <wps:wsp>
                            <wps:cNvSpPr/>
                            <wps:spPr>
                              <a:xfrm>
                                <a:off x="0" y="0"/>
                                <a:ext cx="817880" cy="314960"/>
                              </a:xfrm>
                              <a:prstGeom prst="wedgeRoundRectCallout">
                                <a:avLst>
                                  <a:gd name="adj1" fmla="val -57686"/>
                                  <a:gd name="adj2" fmla="val 163911"/>
                                  <a:gd name="adj3" fmla="val 16667"/>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jc w:val="both"/>
                                    <w:rPr>
                                      <w:rFonts w:hint="eastAsia" w:eastAsia="宋体"/>
                                      <w:color w:val="auto"/>
                                      <w:lang w:val="en-US" w:eastAsia="zh-CN"/>
                                    </w:rPr>
                                  </w:pPr>
                                  <w:r>
                                    <w:rPr>
                                      <w:rFonts w:hint="eastAsia"/>
                                      <w:color w:val="auto"/>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21.05pt;margin-top:450.1pt;height:24.8pt;width:64.4pt;z-index:251663360;v-text-anchor:middle;mso-width-relative:page;mso-height-relative:page;" filled="f" stroked="t" coordsize="21600,21600" o:gfxdata="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BdAjRT2gAAAAsBAAAPAAAAAAAAAAEA&#10;IAAAACIAAABkcnMvZG93bnJldi54bWxQSwECFAAUAAAACACHTuJALtfI07gCAABUBQAADgAAAAAA&#10;AAABACAAAAApAQAAZHJzL2Uyb0RvYy54bWxQSwUGAAAAAAYABgBZAQAAUwYAAAAA&#10;" adj="-1660,46205,14400">
                      <v:fill on="f" focussize="0,0"/>
                      <v:stroke weight="2.25pt" color="#C00000 [3204]" joinstyle="round"/>
                      <v:imagedata o:title=""/>
                      <o:lock v:ext="edit" aspectratio="f"/>
                      <v:textbox>
                        <w:txbxContent>
                          <w:p>
                            <w:pPr>
                              <w:ind w:left="0" w:leftChars="0" w:firstLine="0" w:firstLineChars="0"/>
                              <w:jc w:val="both"/>
                              <w:rPr>
                                <w:rFonts w:hint="eastAsia" w:eastAsia="宋体"/>
                                <w:color w:val="auto"/>
                                <w:lang w:val="en-US" w:eastAsia="zh-CN"/>
                              </w:rPr>
                            </w:pPr>
                            <w:r>
                              <w:rPr>
                                <w:rFonts w:hint="eastAsia"/>
                                <w:color w:val="auto"/>
                                <w:lang w:val="en-US" w:eastAsia="zh-CN"/>
                              </w:rPr>
                              <w:t>本项目</w:t>
                            </w:r>
                          </w:p>
                        </w:txbxContent>
                      </v:textbox>
                    </v:shape>
                  </w:pict>
                </mc:Fallback>
              </mc:AlternateContent>
            </w:r>
            <w:r>
              <w:rPr>
                <w:color w:val="auto"/>
                <w:sz w:val="30"/>
                <w:highlight w:val="none"/>
              </w:rPr>
              <mc:AlternateContent>
                <mc:Choice Requires="wps">
                  <w:drawing>
                    <wp:anchor distT="0" distB="0" distL="114300" distR="114300" simplePos="0" relativeHeight="251662336" behindDoc="0" locked="0" layoutInCell="1" allowOverlap="1">
                      <wp:simplePos x="0" y="0"/>
                      <wp:positionH relativeFrom="column">
                        <wp:posOffset>3839210</wp:posOffset>
                      </wp:positionH>
                      <wp:positionV relativeFrom="paragraph">
                        <wp:posOffset>3858895</wp:posOffset>
                      </wp:positionV>
                      <wp:extent cx="817880" cy="314960"/>
                      <wp:effectExtent l="13970" t="14605" r="25400" b="70485"/>
                      <wp:wrapNone/>
                      <wp:docPr id="72" name="圆角矩形标注 72"/>
                      <wp:cNvGraphicFramePr/>
                      <a:graphic xmlns:a="http://schemas.openxmlformats.org/drawingml/2006/main">
                        <a:graphicData uri="http://schemas.microsoft.com/office/word/2010/wordprocessingShape">
                          <wps:wsp>
                            <wps:cNvSpPr/>
                            <wps:spPr>
                              <a:xfrm>
                                <a:off x="5137785" y="4904740"/>
                                <a:ext cx="817880" cy="314960"/>
                              </a:xfrm>
                              <a:prstGeom prst="wedgeRoundRectCallout">
                                <a:avLst>
                                  <a:gd name="adj1" fmla="val -41364"/>
                                  <a:gd name="adj2" fmla="val 64062"/>
                                  <a:gd name="adj3" fmla="val 16667"/>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jc w:val="both"/>
                                    <w:rPr>
                                      <w:rFonts w:hint="eastAsia" w:eastAsia="宋体"/>
                                      <w:color w:val="auto"/>
                                      <w:lang w:val="en-US" w:eastAsia="zh-CN"/>
                                    </w:rPr>
                                  </w:pPr>
                                  <w:r>
                                    <w:rPr>
                                      <w:rFonts w:hint="eastAsia"/>
                                      <w:color w:val="auto"/>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02.3pt;margin-top:303.85pt;height:24.8pt;width:64.4pt;z-index:251662336;v-text-anchor:middle;mso-width-relative:page;mso-height-relative:page;" filled="f" stroked="t" coordsize="21600,21600" o:gfxdata="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" adj="1865,24637,14400">
                      <v:fill on="f" focussize="0,0"/>
                      <v:stroke weight="2.25pt" color="#C00000 [3204]" joinstyle="round"/>
                      <v:imagedata o:title=""/>
                      <o:lock v:ext="edit" aspectratio="f"/>
                      <v:textbox>
                        <w:txbxContent>
                          <w:p>
                            <w:pPr>
                              <w:ind w:left="0" w:leftChars="0" w:firstLine="0" w:firstLineChars="0"/>
                              <w:jc w:val="both"/>
                              <w:rPr>
                                <w:rFonts w:hint="eastAsia" w:eastAsia="宋体"/>
                                <w:color w:val="auto"/>
                                <w:lang w:val="en-US" w:eastAsia="zh-CN"/>
                              </w:rPr>
                            </w:pPr>
                            <w:r>
                              <w:rPr>
                                <w:rFonts w:hint="eastAsia"/>
                                <w:color w:val="auto"/>
                                <w:lang w:val="en-US" w:eastAsia="zh-CN"/>
                              </w:rPr>
                              <w:t>本项目</w:t>
                            </w:r>
                          </w:p>
                        </w:txbxContent>
                      </v:textbox>
                    </v:shape>
                  </w:pict>
                </mc:Fallback>
              </mc:AlternateContent>
            </w:r>
            <w:r>
              <w:rPr>
                <w:color w:val="auto"/>
                <w:highlight w:val="none"/>
              </w:rPr>
              <w:drawing>
                <wp:anchor distT="0" distB="0" distL="114300" distR="114300" simplePos="0" relativeHeight="251661312" behindDoc="0" locked="0" layoutInCell="1" allowOverlap="1">
                  <wp:simplePos x="0" y="0"/>
                  <wp:positionH relativeFrom="column">
                    <wp:posOffset>3306445</wp:posOffset>
                  </wp:positionH>
                  <wp:positionV relativeFrom="paragraph">
                    <wp:posOffset>5495925</wp:posOffset>
                  </wp:positionV>
                  <wp:extent cx="1949450" cy="1267460"/>
                  <wp:effectExtent l="0" t="0" r="12700" b="8890"/>
                  <wp:wrapNone/>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9"/>
                          <a:stretch>
                            <a:fillRect/>
                          </a:stretch>
                        </pic:blipFill>
                        <pic:spPr>
                          <a:xfrm>
                            <a:off x="0" y="0"/>
                            <a:ext cx="1949450" cy="1267460"/>
                          </a:xfrm>
                          <a:prstGeom prst="rect">
                            <a:avLst/>
                          </a:prstGeom>
                          <a:noFill/>
                          <a:ln>
                            <a:noFill/>
                          </a:ln>
                        </pic:spPr>
                      </pic:pic>
                    </a:graphicData>
                  </a:graphic>
                </wp:anchor>
              </w:drawing>
            </w:r>
            <w:r>
              <w:rPr>
                <w:rFonts w:hint="eastAsia" w:eastAsia="黑体"/>
                <w:color w:val="auto"/>
                <w:highlight w:val="none"/>
                <w:lang w:eastAsia="zh-CN"/>
              </w:rPr>
              <w:drawing>
                <wp:inline distT="0" distB="0" distL="114300" distR="114300">
                  <wp:extent cx="5292725" cy="7937500"/>
                  <wp:effectExtent l="0" t="0" r="3175" b="6350"/>
                  <wp:docPr id="64" name="图片 64" descr="秦皇岛市生态红线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秦皇岛市生态红线图"/>
                          <pic:cNvPicPr>
                            <a:picLocks noChangeAspect="1"/>
                          </pic:cNvPicPr>
                        </pic:nvPicPr>
                        <pic:blipFill>
                          <a:blip r:embed="rId10"/>
                          <a:stretch>
                            <a:fillRect/>
                          </a:stretch>
                        </pic:blipFill>
                        <pic:spPr>
                          <a:xfrm>
                            <a:off x="0" y="0"/>
                            <a:ext cx="5292725" cy="7937500"/>
                          </a:xfrm>
                          <a:prstGeom prst="rect">
                            <a:avLst/>
                          </a:prstGeom>
                        </pic:spPr>
                      </pic:pic>
                    </a:graphicData>
                  </a:graphic>
                </wp:inline>
              </w:drawing>
            </w:r>
          </w:p>
          <w:p>
            <w:pPr>
              <w:pStyle w:val="45"/>
              <w:rPr>
                <w:rFonts w:hint="default"/>
                <w:color w:val="auto"/>
                <w:highlight w:val="none"/>
              </w:rPr>
            </w:pPr>
            <w:r>
              <w:rPr>
                <w:rFonts w:hint="default"/>
                <w:color w:val="auto"/>
                <w:highlight w:val="none"/>
              </w:rPr>
              <w:t>图</w:t>
            </w:r>
            <w:r>
              <w:rPr>
                <w:rFonts w:hint="eastAsia"/>
                <w:color w:val="auto"/>
                <w:highlight w:val="none"/>
                <w:lang w:val="en-US" w:eastAsia="zh-CN"/>
              </w:rPr>
              <w:t xml:space="preserve">1-1 </w:t>
            </w:r>
            <w:r>
              <w:rPr>
                <w:rFonts w:hint="default"/>
                <w:color w:val="auto"/>
                <w:highlight w:val="none"/>
              </w:rPr>
              <w:t>本项目与生态保护红线位置关系</w:t>
            </w:r>
          </w:p>
          <w:p>
            <w:pPr>
              <w:adjustRightInd w:val="0"/>
              <w:snapToGrid w:val="0"/>
              <w:spacing w:line="360" w:lineRule="auto"/>
              <w:ind w:firstLine="480"/>
              <w:rPr>
                <w:rFonts w:hint="default"/>
                <w:color w:val="auto"/>
                <w:highlight w:val="none"/>
              </w:rPr>
            </w:pPr>
            <w:r>
              <w:rPr>
                <w:rFonts w:hint="default"/>
                <w:color w:val="auto"/>
                <w:highlight w:val="none"/>
              </w:rPr>
              <w:t>（2）环境质量底线</w:t>
            </w:r>
            <w:r>
              <w:rPr>
                <w:rFonts w:hint="eastAsia"/>
                <w:color w:val="auto"/>
                <w:highlight w:val="none"/>
                <w:lang w:eastAsia="zh-CN"/>
              </w:rPr>
              <w:t>：</w:t>
            </w:r>
            <w:r>
              <w:rPr>
                <w:rFonts w:hint="default"/>
                <w:color w:val="auto"/>
                <w:highlight w:val="none"/>
              </w:rPr>
              <w:t>区域地下水环境、声环境、土壤环境满足环境质量底线要求，</w:t>
            </w:r>
            <w:r>
              <w:rPr>
                <w:rFonts w:hint="default"/>
                <w:color w:val="auto"/>
                <w:highlight w:val="none"/>
                <w:lang w:val="en-US" w:eastAsia="zh-CN"/>
              </w:rPr>
              <w:t>根据</w:t>
            </w:r>
            <w:r>
              <w:rPr>
                <w:rFonts w:hint="eastAsia"/>
                <w:color w:val="auto"/>
                <w:highlight w:val="none"/>
                <w:lang w:eastAsia="zh-CN"/>
              </w:rPr>
              <w:t>《</w:t>
            </w:r>
            <w:r>
              <w:rPr>
                <w:rFonts w:hint="eastAsia"/>
                <w:color w:val="auto"/>
                <w:highlight w:val="none"/>
                <w:lang w:val="en-US" w:eastAsia="zh-CN"/>
              </w:rPr>
              <w:t>秦皇岛市大气污染防治工作领导小组办公室</w:t>
            </w:r>
            <w:r>
              <w:rPr>
                <w:rFonts w:hint="default"/>
                <w:color w:val="auto"/>
                <w:highlight w:val="none"/>
                <w:lang w:val="en-US" w:eastAsia="zh-CN"/>
              </w:rPr>
              <w:t>关于 2022年12月份环境空气质量情况的通报</w:t>
            </w:r>
            <w:r>
              <w:rPr>
                <w:rFonts w:hint="eastAsia"/>
                <w:color w:val="auto"/>
                <w:highlight w:val="none"/>
                <w:lang w:eastAsia="zh-CN"/>
              </w:rPr>
              <w:t>》（秦气防领办〔202</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lang w:val="en-US" w:eastAsia="zh-CN"/>
              </w:rPr>
              <w:t>4</w:t>
            </w:r>
            <w:r>
              <w:rPr>
                <w:rFonts w:hint="eastAsia"/>
                <w:color w:val="auto"/>
                <w:highlight w:val="none"/>
                <w:lang w:eastAsia="zh-CN"/>
              </w:rPr>
              <w:t>号）</w:t>
            </w:r>
            <w:r>
              <w:rPr>
                <w:rFonts w:hint="eastAsia"/>
                <w:color w:val="auto"/>
                <w:highlight w:val="none"/>
                <w:lang w:val="en-US" w:eastAsia="zh-CN"/>
              </w:rPr>
              <w:t>中</w:t>
            </w:r>
            <w:r>
              <w:rPr>
                <w:rFonts w:hint="default"/>
                <w:color w:val="auto"/>
                <w:highlight w:val="none"/>
                <w:lang w:val="en-US" w:eastAsia="zh-CN"/>
              </w:rPr>
              <w:t>的202</w:t>
            </w:r>
            <w:r>
              <w:rPr>
                <w:rFonts w:hint="eastAsia"/>
                <w:color w:val="auto"/>
                <w:highlight w:val="none"/>
                <w:lang w:val="en-US" w:eastAsia="zh-CN"/>
              </w:rPr>
              <w:t>2</w:t>
            </w:r>
            <w:r>
              <w:rPr>
                <w:rFonts w:hint="default"/>
                <w:color w:val="auto"/>
                <w:highlight w:val="none"/>
                <w:lang w:val="en-US" w:eastAsia="zh-CN"/>
              </w:rPr>
              <w:t>年1-12月份环境空气质量通报</w:t>
            </w:r>
            <w:r>
              <w:rPr>
                <w:rFonts w:hint="default"/>
                <w:color w:val="auto"/>
                <w:highlight w:val="none"/>
              </w:rPr>
              <w:t>，</w:t>
            </w:r>
            <w:r>
              <w:rPr>
                <w:rFonts w:hint="default"/>
                <w:color w:val="auto"/>
                <w:highlight w:val="none"/>
                <w:lang w:val="en-US" w:eastAsia="zh-CN"/>
              </w:rPr>
              <w:t>秦皇岛</w:t>
            </w:r>
            <w:r>
              <w:rPr>
                <w:rFonts w:hint="eastAsia"/>
                <w:color w:val="auto"/>
                <w:highlight w:val="none"/>
                <w:lang w:val="en-US" w:eastAsia="zh-CN"/>
              </w:rPr>
              <w:t>经济技术开发区</w:t>
            </w:r>
            <w:r>
              <w:rPr>
                <w:rFonts w:hint="default"/>
                <w:color w:val="auto"/>
                <w:highlight w:val="none"/>
                <w:lang w:val="en-US" w:eastAsia="zh-CN"/>
              </w:rPr>
              <w:t>环境空气质量</w:t>
            </w:r>
            <w:r>
              <w:rPr>
                <w:rFonts w:hint="eastAsia"/>
                <w:color w:val="auto"/>
                <w:highlight w:val="none"/>
                <w:lang w:val="en-US" w:eastAsia="zh-CN"/>
              </w:rPr>
              <w:t>中</w:t>
            </w:r>
            <w:r>
              <w:rPr>
                <w:rFonts w:hint="default"/>
                <w:color w:val="auto"/>
                <w:highlight w:val="none"/>
                <w:lang w:val="en-US" w:eastAsia="zh-CN"/>
              </w:rPr>
              <w:t>SO</w:t>
            </w:r>
            <w:r>
              <w:rPr>
                <w:rFonts w:hint="default"/>
                <w:color w:val="auto"/>
                <w:highlight w:val="none"/>
                <w:vertAlign w:val="subscript"/>
                <w:lang w:val="en-US" w:eastAsia="zh-CN"/>
              </w:rPr>
              <w:t>2</w:t>
            </w:r>
            <w:r>
              <w:rPr>
                <w:rFonts w:hint="eastAsia"/>
                <w:color w:val="auto"/>
                <w:highlight w:val="none"/>
                <w:lang w:val="en-US" w:eastAsia="zh-CN"/>
              </w:rPr>
              <w:t>、</w:t>
            </w:r>
            <w:r>
              <w:rPr>
                <w:rFonts w:hint="default"/>
                <w:color w:val="auto"/>
                <w:highlight w:val="none"/>
                <w:lang w:val="en-US" w:eastAsia="zh-CN"/>
              </w:rPr>
              <w:t>NO</w:t>
            </w:r>
            <w:r>
              <w:rPr>
                <w:rFonts w:hint="default"/>
                <w:color w:val="auto"/>
                <w:highlight w:val="none"/>
                <w:vertAlign w:val="subscript"/>
                <w:lang w:val="en-US" w:eastAsia="zh-CN"/>
              </w:rPr>
              <w:t>2</w:t>
            </w:r>
            <w:r>
              <w:rPr>
                <w:rFonts w:hint="eastAsia"/>
                <w:color w:val="auto"/>
                <w:highlight w:val="none"/>
                <w:lang w:val="en-US" w:eastAsia="zh-CN"/>
              </w:rPr>
              <w:t>、</w:t>
            </w:r>
            <w:r>
              <w:rPr>
                <w:rFonts w:hint="default"/>
                <w:color w:val="auto"/>
                <w:highlight w:val="none"/>
                <w:lang w:val="en-US" w:eastAsia="zh-CN"/>
              </w:rPr>
              <w:t>PM</w:t>
            </w:r>
            <w:r>
              <w:rPr>
                <w:rFonts w:hint="default"/>
                <w:color w:val="auto"/>
                <w:highlight w:val="none"/>
                <w:vertAlign w:val="subscript"/>
                <w:lang w:val="en-US" w:eastAsia="zh-CN"/>
              </w:rPr>
              <w:t>10</w:t>
            </w:r>
            <w:r>
              <w:rPr>
                <w:rFonts w:hint="eastAsia"/>
                <w:color w:val="auto"/>
                <w:highlight w:val="none"/>
                <w:lang w:val="en-US" w:eastAsia="zh-CN"/>
              </w:rPr>
              <w:t>、</w:t>
            </w:r>
            <w:r>
              <w:rPr>
                <w:rFonts w:hint="default"/>
                <w:color w:val="auto"/>
                <w:highlight w:val="none"/>
                <w:lang w:val="en-US" w:eastAsia="zh-CN"/>
              </w:rPr>
              <w:t>PM</w:t>
            </w:r>
            <w:r>
              <w:rPr>
                <w:rFonts w:hint="default"/>
                <w:color w:val="auto"/>
                <w:highlight w:val="none"/>
                <w:vertAlign w:val="subscript"/>
                <w:lang w:val="en-US" w:eastAsia="zh-CN"/>
              </w:rPr>
              <w:t>2.5</w:t>
            </w:r>
            <w:r>
              <w:rPr>
                <w:rFonts w:hint="eastAsia"/>
                <w:color w:val="auto"/>
                <w:highlight w:val="none"/>
                <w:lang w:val="en-US" w:eastAsia="zh-CN"/>
              </w:rPr>
              <w:t>、</w:t>
            </w:r>
            <w:r>
              <w:rPr>
                <w:rFonts w:hint="default"/>
                <w:color w:val="auto"/>
                <w:highlight w:val="none"/>
                <w:lang w:val="en-US" w:eastAsia="zh-CN"/>
              </w:rPr>
              <w:t>CO满足《环境空气质量标准》（GB3095-2012）二级标准要求</w:t>
            </w:r>
            <w:r>
              <w:rPr>
                <w:rFonts w:hint="eastAsia"/>
                <w:color w:val="auto"/>
                <w:highlight w:val="none"/>
                <w:lang w:val="en-US" w:eastAsia="zh-CN"/>
              </w:rPr>
              <w:t>，超标因子</w:t>
            </w:r>
            <w:r>
              <w:rPr>
                <w:rFonts w:hint="eastAsia"/>
                <w:color w:val="auto"/>
                <w:highlight w:val="none"/>
                <w:vertAlign w:val="subscript"/>
                <w:lang w:val="en-US" w:eastAsia="zh-CN"/>
              </w:rPr>
              <w:t>O3</w:t>
            </w:r>
            <w:r>
              <w:rPr>
                <w:rFonts w:hint="eastAsia"/>
                <w:color w:val="auto"/>
                <w:highlight w:val="none"/>
                <w:lang w:val="en-US" w:eastAsia="zh-CN"/>
              </w:rPr>
              <w:t>，</w:t>
            </w:r>
            <w:r>
              <w:rPr>
                <w:rFonts w:hint="default"/>
                <w:color w:val="auto"/>
                <w:highlight w:val="none"/>
                <w:lang w:val="en-US" w:eastAsia="zh-CN"/>
              </w:rPr>
              <w:t>即本项目所在区域为</w:t>
            </w:r>
            <w:r>
              <w:rPr>
                <w:rFonts w:hint="eastAsia"/>
                <w:color w:val="auto"/>
                <w:highlight w:val="none"/>
                <w:lang w:val="en-US" w:eastAsia="zh-CN"/>
              </w:rPr>
              <w:t>不</w:t>
            </w:r>
            <w:r>
              <w:rPr>
                <w:rFonts w:hint="default"/>
                <w:color w:val="auto"/>
                <w:highlight w:val="none"/>
                <w:lang w:val="en-US" w:eastAsia="zh-CN"/>
              </w:rPr>
              <w:t>达标区。</w:t>
            </w:r>
          </w:p>
          <w:p>
            <w:pPr>
              <w:autoSpaceDE w:val="0"/>
              <w:autoSpaceDN w:val="0"/>
              <w:adjustRightInd w:val="0"/>
              <w:snapToGrid w:val="0"/>
              <w:ind w:firstLine="480" w:firstLineChars="200"/>
              <w:rPr>
                <w:rFonts w:hint="default"/>
                <w:color w:val="auto"/>
                <w:highlight w:val="none"/>
              </w:rPr>
            </w:pPr>
            <w:r>
              <w:rPr>
                <w:rFonts w:hint="default"/>
                <w:color w:val="auto"/>
                <w:highlight w:val="none"/>
              </w:rPr>
              <w:t>（3）</w:t>
            </w:r>
            <w:r>
              <w:rPr>
                <w:rFonts w:hint="eastAsia"/>
                <w:color w:val="auto"/>
                <w:highlight w:val="none"/>
                <w:lang w:val="en-US" w:eastAsia="zh-CN"/>
              </w:rPr>
              <w:t>资源利用上线：</w:t>
            </w:r>
            <w:r>
              <w:rPr>
                <w:rFonts w:hint="default"/>
                <w:color w:val="auto"/>
                <w:highlight w:val="none"/>
              </w:rPr>
              <w:t>项目为</w:t>
            </w:r>
            <w:r>
              <w:rPr>
                <w:rFonts w:hint="eastAsia"/>
                <w:color w:val="auto"/>
                <w:highlight w:val="none"/>
                <w:lang w:val="en-US" w:eastAsia="zh-CN"/>
              </w:rPr>
              <w:t>扩建</w:t>
            </w:r>
            <w:r>
              <w:rPr>
                <w:rFonts w:hint="default"/>
                <w:color w:val="auto"/>
                <w:highlight w:val="none"/>
              </w:rPr>
              <w:t>项目，主要</w:t>
            </w:r>
            <w:r>
              <w:rPr>
                <w:rFonts w:hint="eastAsia"/>
                <w:color w:val="auto"/>
                <w:highlight w:val="none"/>
                <w:lang w:val="en-US" w:eastAsia="zh-CN"/>
              </w:rPr>
              <w:t>购置</w:t>
            </w:r>
            <w:r>
              <w:rPr>
                <w:rFonts w:hint="default"/>
                <w:color w:val="auto"/>
                <w:highlight w:val="none"/>
                <w:lang w:val="en-US" w:eastAsia="zh-CN"/>
              </w:rPr>
              <w:t>生产设备</w:t>
            </w:r>
            <w:r>
              <w:rPr>
                <w:rFonts w:hint="default"/>
                <w:color w:val="auto"/>
                <w:highlight w:val="none"/>
              </w:rPr>
              <w:t>，本项目运营过程中有一定量的电力资源、水资源等资源消耗，项目用水</w:t>
            </w:r>
            <w:r>
              <w:rPr>
                <w:rFonts w:hint="eastAsia"/>
                <w:color w:val="auto"/>
                <w:highlight w:val="none"/>
                <w:lang w:val="en-US" w:eastAsia="zh-CN"/>
              </w:rPr>
              <w:t>由市政供水管网提供</w:t>
            </w:r>
            <w:r>
              <w:rPr>
                <w:rFonts w:hint="eastAsia"/>
                <w:color w:val="auto"/>
                <w:highlight w:val="none"/>
                <w:lang w:eastAsia="zh-CN"/>
              </w:rPr>
              <w:t>、</w:t>
            </w:r>
            <w:r>
              <w:rPr>
                <w:rFonts w:hint="eastAsia"/>
                <w:color w:val="auto"/>
                <w:highlight w:val="none"/>
                <w:lang w:val="en-US" w:eastAsia="zh-CN"/>
              </w:rPr>
              <w:t>用电由市政供电管网提供</w:t>
            </w:r>
            <w:r>
              <w:rPr>
                <w:rFonts w:hint="default"/>
                <w:color w:val="auto"/>
                <w:highlight w:val="none"/>
              </w:rPr>
              <w:t>，项目资源消耗量相对较少；项目</w:t>
            </w:r>
            <w:r>
              <w:rPr>
                <w:rFonts w:hint="eastAsia"/>
                <w:color w:val="auto"/>
                <w:highlight w:val="none"/>
                <w:lang w:val="en-US" w:eastAsia="zh-CN"/>
              </w:rPr>
              <w:t>为现有</w:t>
            </w:r>
            <w:r>
              <w:rPr>
                <w:rFonts w:hint="default"/>
                <w:color w:val="auto"/>
                <w:highlight w:val="none"/>
              </w:rPr>
              <w:t>厂房，不新增占用土地资源，且不使用高能耗工艺及生产设备，资源利用符合国家相关要求，满足资源利用上线要求。</w:t>
            </w:r>
          </w:p>
          <w:p>
            <w:pPr>
              <w:autoSpaceDE w:val="0"/>
              <w:autoSpaceDN w:val="0"/>
              <w:adjustRightInd w:val="0"/>
              <w:snapToGrid w:val="0"/>
              <w:ind w:firstLine="480" w:firstLineChars="200"/>
              <w:rPr>
                <w:rFonts w:hint="default"/>
                <w:color w:val="auto"/>
                <w:highlight w:val="none"/>
              </w:rPr>
            </w:pPr>
            <w:r>
              <w:rPr>
                <w:rFonts w:hint="default"/>
                <w:color w:val="auto"/>
                <w:highlight w:val="none"/>
              </w:rPr>
              <w:t>（4）环境准入负面清单</w:t>
            </w:r>
            <w:r>
              <w:rPr>
                <w:rFonts w:hint="eastAsia"/>
                <w:color w:val="auto"/>
                <w:highlight w:val="none"/>
                <w:lang w:eastAsia="zh-CN"/>
              </w:rPr>
              <w:t>：</w:t>
            </w:r>
            <w:r>
              <w:rPr>
                <w:rFonts w:hint="default"/>
                <w:color w:val="auto"/>
                <w:highlight w:val="none"/>
              </w:rPr>
              <w:t>项目符合区域污染控制要求，不在区域环境准入负面清单范围内。</w:t>
            </w:r>
          </w:p>
          <w:p>
            <w:pPr>
              <w:pStyle w:val="45"/>
              <w:rPr>
                <w:rFonts w:hint="default"/>
                <w:color w:val="auto"/>
                <w:highlight w:val="none"/>
              </w:rPr>
            </w:pPr>
            <w:r>
              <w:rPr>
                <w:rFonts w:hint="default"/>
                <w:color w:val="auto"/>
                <w:highlight w:val="none"/>
              </w:rPr>
              <w:t>表</w:t>
            </w:r>
            <w:r>
              <w:rPr>
                <w:rFonts w:hint="eastAsia"/>
                <w:color w:val="auto"/>
                <w:highlight w:val="none"/>
                <w:lang w:val="en-US" w:eastAsia="zh-CN"/>
              </w:rPr>
              <w:t xml:space="preserve">1-1 </w:t>
            </w:r>
            <w:r>
              <w:rPr>
                <w:rFonts w:hint="default"/>
                <w:color w:val="auto"/>
                <w:highlight w:val="none"/>
              </w:rPr>
              <w:t>本项目与规划环评生态环境准入清单关系一览表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1"/>
              <w:gridCol w:w="994"/>
              <w:gridCol w:w="1392"/>
              <w:gridCol w:w="3602"/>
              <w:gridCol w:w="15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2" w:type="pct"/>
                  <w:gridSpan w:val="2"/>
                  <w:vAlign w:val="center"/>
                </w:tcPr>
                <w:p>
                  <w:pPr>
                    <w:pStyle w:val="63"/>
                    <w:rPr>
                      <w:rFonts w:hint="default"/>
                      <w:color w:val="auto"/>
                      <w:highlight w:val="none"/>
                    </w:rPr>
                  </w:pPr>
                  <w:r>
                    <w:rPr>
                      <w:rFonts w:hint="default"/>
                      <w:color w:val="auto"/>
                      <w:highlight w:val="none"/>
                    </w:rPr>
                    <w:t>分类</w:t>
                  </w:r>
                </w:p>
              </w:tc>
              <w:tc>
                <w:tcPr>
                  <w:tcW w:w="836" w:type="pct"/>
                  <w:vAlign w:val="center"/>
                </w:tcPr>
                <w:p>
                  <w:pPr>
                    <w:pStyle w:val="63"/>
                    <w:rPr>
                      <w:rFonts w:hint="default"/>
                      <w:color w:val="auto"/>
                      <w:highlight w:val="none"/>
                    </w:rPr>
                  </w:pPr>
                  <w:r>
                    <w:rPr>
                      <w:rFonts w:hint="default"/>
                      <w:color w:val="auto"/>
                      <w:highlight w:val="none"/>
                    </w:rPr>
                    <w:t>工艺清单</w:t>
                  </w:r>
                </w:p>
              </w:tc>
              <w:tc>
                <w:tcPr>
                  <w:tcW w:w="2162" w:type="pct"/>
                  <w:vAlign w:val="center"/>
                </w:tcPr>
                <w:p>
                  <w:pPr>
                    <w:pStyle w:val="63"/>
                    <w:rPr>
                      <w:rFonts w:hint="default"/>
                      <w:color w:val="auto"/>
                      <w:highlight w:val="none"/>
                    </w:rPr>
                  </w:pPr>
                  <w:r>
                    <w:rPr>
                      <w:rFonts w:hint="default"/>
                      <w:color w:val="auto"/>
                      <w:highlight w:val="none"/>
                    </w:rPr>
                    <w:t>制</w:t>
                  </w:r>
                  <w:r>
                    <w:rPr>
                      <w:rFonts w:hint="eastAsia"/>
                      <w:color w:val="auto"/>
                      <w:highlight w:val="none"/>
                      <w:lang w:val="en-US" w:eastAsia="zh-CN"/>
                    </w:rPr>
                    <w:t>定</w:t>
                  </w:r>
                  <w:r>
                    <w:rPr>
                      <w:rFonts w:hint="default"/>
                      <w:color w:val="auto"/>
                      <w:highlight w:val="none"/>
                    </w:rPr>
                    <w:t>依据</w:t>
                  </w:r>
                </w:p>
              </w:tc>
              <w:tc>
                <w:tcPr>
                  <w:tcW w:w="928" w:type="pct"/>
                  <w:vAlign w:val="center"/>
                </w:tcPr>
                <w:p>
                  <w:pPr>
                    <w:pStyle w:val="63"/>
                    <w:rPr>
                      <w:rFonts w:hint="default"/>
                      <w:color w:val="auto"/>
                      <w:highlight w:val="none"/>
                    </w:rPr>
                  </w:pPr>
                  <w:r>
                    <w:rPr>
                      <w:rFonts w:hint="default"/>
                      <w:color w:val="auto"/>
                      <w:highlight w:val="none"/>
                    </w:rPr>
                    <w:t>本项目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5" w:type="pct"/>
                  <w:vMerge w:val="restart"/>
                  <w:vAlign w:val="center"/>
                </w:tcPr>
                <w:p>
                  <w:pPr>
                    <w:pStyle w:val="63"/>
                    <w:rPr>
                      <w:rFonts w:hint="default"/>
                      <w:color w:val="auto"/>
                      <w:highlight w:val="none"/>
                    </w:rPr>
                  </w:pPr>
                  <w:r>
                    <w:rPr>
                      <w:rFonts w:hint="default"/>
                      <w:color w:val="auto"/>
                      <w:highlight w:val="none"/>
                    </w:rPr>
                    <w:t>禁止类</w:t>
                  </w:r>
                </w:p>
              </w:tc>
              <w:tc>
                <w:tcPr>
                  <w:tcW w:w="597" w:type="pct"/>
                  <w:vAlign w:val="center"/>
                </w:tcPr>
                <w:p>
                  <w:pPr>
                    <w:pStyle w:val="63"/>
                    <w:rPr>
                      <w:rFonts w:hint="default"/>
                      <w:color w:val="auto"/>
                      <w:highlight w:val="none"/>
                    </w:rPr>
                  </w:pPr>
                  <w:r>
                    <w:rPr>
                      <w:rFonts w:hint="default"/>
                      <w:color w:val="auto"/>
                      <w:highlight w:val="none"/>
                    </w:rPr>
                    <w:t>医药产业</w:t>
                  </w:r>
                </w:p>
              </w:tc>
              <w:tc>
                <w:tcPr>
                  <w:tcW w:w="836" w:type="pct"/>
                  <w:vAlign w:val="center"/>
                </w:tcPr>
                <w:p>
                  <w:pPr>
                    <w:pStyle w:val="63"/>
                    <w:rPr>
                      <w:rFonts w:hint="default"/>
                      <w:color w:val="auto"/>
                      <w:highlight w:val="none"/>
                    </w:rPr>
                  </w:pPr>
                  <w:r>
                    <w:rPr>
                      <w:rFonts w:hint="default"/>
                      <w:color w:val="auto"/>
                      <w:highlight w:val="none"/>
                    </w:rPr>
                    <w:t>原料药生产</w:t>
                  </w:r>
                </w:p>
              </w:tc>
              <w:tc>
                <w:tcPr>
                  <w:tcW w:w="2162" w:type="pct"/>
                  <w:vAlign w:val="center"/>
                </w:tcPr>
                <w:p>
                  <w:pPr>
                    <w:pStyle w:val="63"/>
                    <w:rPr>
                      <w:rFonts w:hint="default"/>
                      <w:color w:val="auto"/>
                      <w:highlight w:val="none"/>
                    </w:rPr>
                  </w:pPr>
                  <w:r>
                    <w:rPr>
                      <w:rFonts w:hint="default"/>
                      <w:color w:val="auto"/>
                      <w:highlight w:val="none"/>
                    </w:rPr>
                    <w:t>《产业结构调整指导目录（201</w:t>
                  </w:r>
                  <w:r>
                    <w:rPr>
                      <w:rFonts w:hint="eastAsia"/>
                      <w:color w:val="auto"/>
                      <w:highlight w:val="none"/>
                      <w:lang w:val="en-US" w:eastAsia="zh-CN"/>
                    </w:rPr>
                    <w:t>9</w:t>
                  </w:r>
                  <w:r>
                    <w:rPr>
                      <w:rFonts w:hint="default"/>
                      <w:color w:val="auto"/>
                      <w:highlight w:val="none"/>
                    </w:rPr>
                    <w:t>年本）》（修正）中规定的限制类和淘汰类项目、以及《河北省新增限制和淘汰类产业目录(2015年版)》规定并结合开发区产业定位</w:t>
                  </w:r>
                </w:p>
              </w:tc>
              <w:tc>
                <w:tcPr>
                  <w:tcW w:w="928" w:type="pct"/>
                  <w:vMerge w:val="restart"/>
                  <w:vAlign w:val="center"/>
                </w:tcPr>
                <w:p>
                  <w:pPr>
                    <w:pStyle w:val="63"/>
                    <w:rPr>
                      <w:rFonts w:hint="default" w:eastAsia="宋体"/>
                      <w:color w:val="auto"/>
                      <w:highlight w:val="none"/>
                      <w:lang w:val="en-US" w:eastAsia="zh-CN"/>
                    </w:rPr>
                  </w:pPr>
                  <w:r>
                    <w:rPr>
                      <w:rFonts w:hint="default"/>
                      <w:color w:val="auto"/>
                      <w:highlight w:val="none"/>
                      <w:lang w:val="en-US" w:eastAsia="zh-CN"/>
                    </w:rPr>
                    <w:t>本项目属于</w:t>
                  </w:r>
                  <w:r>
                    <w:rPr>
                      <w:rFonts w:hint="eastAsia"/>
                      <w:color w:val="auto"/>
                      <w:highlight w:val="none"/>
                      <w:lang w:val="en-US" w:eastAsia="zh-CN"/>
                    </w:rPr>
                    <w:t>C3311 金属结构制造、C3670汽车零部件及配件制造行业</w:t>
                  </w:r>
                  <w:r>
                    <w:rPr>
                      <w:rFonts w:hint="default"/>
                      <w:color w:val="auto"/>
                      <w:highlight w:val="none"/>
                      <w:lang w:val="en-US" w:eastAsia="zh-CN"/>
                    </w:rPr>
                    <w:t>，</w:t>
                  </w:r>
                  <w:r>
                    <w:rPr>
                      <w:rFonts w:hint="eastAsia"/>
                      <w:color w:val="auto"/>
                      <w:highlight w:val="none"/>
                      <w:lang w:val="en-US" w:eastAsia="zh-CN"/>
                    </w:rPr>
                    <w:t>不属于禁止类项目，不位于华山中路以东，所在区域不涉及输氨管线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5" w:type="pct"/>
                  <w:vMerge w:val="continue"/>
                  <w:vAlign w:val="center"/>
                </w:tcPr>
                <w:p>
                  <w:pPr>
                    <w:pStyle w:val="63"/>
                    <w:rPr>
                      <w:rFonts w:hint="default"/>
                      <w:color w:val="auto"/>
                      <w:highlight w:val="none"/>
                    </w:rPr>
                  </w:pPr>
                </w:p>
              </w:tc>
              <w:tc>
                <w:tcPr>
                  <w:tcW w:w="3596" w:type="pct"/>
                  <w:gridSpan w:val="3"/>
                  <w:vAlign w:val="center"/>
                </w:tcPr>
                <w:p>
                  <w:pPr>
                    <w:pStyle w:val="63"/>
                    <w:rPr>
                      <w:rFonts w:hint="default"/>
                      <w:color w:val="auto"/>
                      <w:highlight w:val="none"/>
                    </w:rPr>
                  </w:pPr>
                  <w:r>
                    <w:rPr>
                      <w:rFonts w:hint="default"/>
                      <w:color w:val="auto"/>
                      <w:highlight w:val="none"/>
                    </w:rPr>
                    <w:t>不得引进医药化工项目，已有医药化工企业不得改、扩建（环保处理设施升级改造除外）</w:t>
                  </w:r>
                </w:p>
              </w:tc>
              <w:tc>
                <w:tcPr>
                  <w:tcW w:w="928" w:type="pct"/>
                  <w:vMerge w:val="continue"/>
                  <w:vAlign w:val="center"/>
                </w:tcPr>
                <w:p>
                  <w:pPr>
                    <w:pStyle w:val="63"/>
                    <w:rPr>
                      <w:rFonts w:hint="default"/>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5" w:type="pct"/>
                  <w:vMerge w:val="continue"/>
                  <w:vAlign w:val="center"/>
                </w:tcPr>
                <w:p>
                  <w:pPr>
                    <w:pStyle w:val="63"/>
                    <w:rPr>
                      <w:rFonts w:hint="default"/>
                      <w:color w:val="auto"/>
                      <w:highlight w:val="none"/>
                    </w:rPr>
                  </w:pPr>
                </w:p>
              </w:tc>
              <w:tc>
                <w:tcPr>
                  <w:tcW w:w="3596" w:type="pct"/>
                  <w:gridSpan w:val="3"/>
                  <w:vAlign w:val="center"/>
                </w:tcPr>
                <w:p>
                  <w:pPr>
                    <w:pStyle w:val="63"/>
                    <w:rPr>
                      <w:rFonts w:hint="default"/>
                      <w:color w:val="auto"/>
                      <w:highlight w:val="none"/>
                    </w:rPr>
                  </w:pPr>
                  <w:r>
                    <w:rPr>
                      <w:rFonts w:hint="default"/>
                      <w:color w:val="auto"/>
                      <w:highlight w:val="none"/>
                    </w:rPr>
                    <w:t>不得引进黑色金属铸造项目，乐金电子（秦皇岛）有限公司、恩彼碧轴承有限公司、安冶精密铸造有限公司进行搬迁</w:t>
                  </w:r>
                </w:p>
              </w:tc>
              <w:tc>
                <w:tcPr>
                  <w:tcW w:w="928" w:type="pct"/>
                  <w:vMerge w:val="continue"/>
                  <w:vAlign w:val="center"/>
                </w:tcPr>
                <w:p>
                  <w:pPr>
                    <w:pStyle w:val="63"/>
                    <w:rPr>
                      <w:rFonts w:hint="default"/>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5" w:type="pct"/>
                  <w:vMerge w:val="continue"/>
                  <w:vAlign w:val="center"/>
                </w:tcPr>
                <w:p>
                  <w:pPr>
                    <w:pStyle w:val="63"/>
                    <w:rPr>
                      <w:rFonts w:hint="default"/>
                      <w:color w:val="auto"/>
                      <w:highlight w:val="none"/>
                    </w:rPr>
                  </w:pPr>
                </w:p>
              </w:tc>
              <w:tc>
                <w:tcPr>
                  <w:tcW w:w="3596" w:type="pct"/>
                  <w:gridSpan w:val="3"/>
                  <w:vAlign w:val="center"/>
                </w:tcPr>
                <w:p>
                  <w:pPr>
                    <w:pStyle w:val="63"/>
                    <w:rPr>
                      <w:rFonts w:hint="default"/>
                      <w:color w:val="auto"/>
                      <w:highlight w:val="none"/>
                    </w:rPr>
                  </w:pPr>
                  <w:r>
                    <w:rPr>
                      <w:rFonts w:hint="default"/>
                      <w:color w:val="auto"/>
                      <w:highlight w:val="none"/>
                    </w:rPr>
                    <w:t>邦迪管路系统有限公司、康泰医学公司、欧泰克节能门窗有限公司、海湾安全技术有限公司不得改、扩建</w:t>
                  </w:r>
                </w:p>
              </w:tc>
              <w:tc>
                <w:tcPr>
                  <w:tcW w:w="928" w:type="pct"/>
                  <w:vMerge w:val="continue"/>
                  <w:vAlign w:val="center"/>
                </w:tcPr>
                <w:p>
                  <w:pPr>
                    <w:pStyle w:val="63"/>
                    <w:rPr>
                      <w:rFonts w:hint="default"/>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5" w:type="pct"/>
                  <w:vMerge w:val="continue"/>
                  <w:vAlign w:val="center"/>
                </w:tcPr>
                <w:p>
                  <w:pPr>
                    <w:pStyle w:val="63"/>
                    <w:rPr>
                      <w:rFonts w:hint="default"/>
                      <w:color w:val="auto"/>
                      <w:highlight w:val="none"/>
                    </w:rPr>
                  </w:pPr>
                </w:p>
              </w:tc>
              <w:tc>
                <w:tcPr>
                  <w:tcW w:w="3596" w:type="pct"/>
                  <w:gridSpan w:val="3"/>
                  <w:vAlign w:val="center"/>
                </w:tcPr>
                <w:p>
                  <w:pPr>
                    <w:pStyle w:val="63"/>
                    <w:rPr>
                      <w:rFonts w:hint="default"/>
                      <w:color w:val="auto"/>
                      <w:highlight w:val="none"/>
                    </w:rPr>
                  </w:pPr>
                  <w:r>
                    <w:rPr>
                      <w:rFonts w:hint="default"/>
                      <w:color w:val="auto"/>
                      <w:highlight w:val="none"/>
                    </w:rPr>
                    <w:t>华山中路以东不得布置工业项目</w:t>
                  </w:r>
                </w:p>
              </w:tc>
              <w:tc>
                <w:tcPr>
                  <w:tcW w:w="928" w:type="pct"/>
                  <w:vMerge w:val="continue"/>
                  <w:vAlign w:val="center"/>
                </w:tcPr>
                <w:p>
                  <w:pPr>
                    <w:pStyle w:val="63"/>
                    <w:rPr>
                      <w:rFonts w:hint="default"/>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5" w:type="pct"/>
                  <w:vMerge w:val="continue"/>
                  <w:vAlign w:val="center"/>
                </w:tcPr>
                <w:p>
                  <w:pPr>
                    <w:pStyle w:val="63"/>
                    <w:rPr>
                      <w:rFonts w:hint="default"/>
                      <w:color w:val="auto"/>
                      <w:highlight w:val="none"/>
                    </w:rPr>
                  </w:pPr>
                </w:p>
              </w:tc>
              <w:tc>
                <w:tcPr>
                  <w:tcW w:w="3596" w:type="pct"/>
                  <w:gridSpan w:val="3"/>
                  <w:vAlign w:val="center"/>
                </w:tcPr>
                <w:p>
                  <w:pPr>
                    <w:pStyle w:val="63"/>
                    <w:rPr>
                      <w:rFonts w:hint="default"/>
                      <w:color w:val="auto"/>
                      <w:highlight w:val="none"/>
                    </w:rPr>
                  </w:pPr>
                  <w:r>
                    <w:rPr>
                      <w:rFonts w:hint="default"/>
                      <w:color w:val="auto"/>
                      <w:highlight w:val="none"/>
                    </w:rPr>
                    <w:t>输氨管线拆除前不得在其两侧490m范围内布置居住、科教等项目</w:t>
                  </w:r>
                </w:p>
              </w:tc>
              <w:tc>
                <w:tcPr>
                  <w:tcW w:w="928" w:type="pct"/>
                  <w:vMerge w:val="continue"/>
                  <w:vAlign w:val="center"/>
                </w:tcPr>
                <w:p>
                  <w:pPr>
                    <w:pStyle w:val="63"/>
                    <w:rPr>
                      <w:rFonts w:hint="default"/>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5" w:type="pct"/>
                  <w:vAlign w:val="center"/>
                </w:tcPr>
                <w:p>
                  <w:pPr>
                    <w:pStyle w:val="63"/>
                    <w:rPr>
                      <w:rFonts w:hint="default"/>
                      <w:color w:val="auto"/>
                      <w:highlight w:val="none"/>
                    </w:rPr>
                  </w:pPr>
                  <w:r>
                    <w:rPr>
                      <w:rFonts w:hint="default"/>
                      <w:color w:val="auto"/>
                      <w:highlight w:val="none"/>
                    </w:rPr>
                    <w:t>限制类</w:t>
                  </w:r>
                </w:p>
              </w:tc>
              <w:tc>
                <w:tcPr>
                  <w:tcW w:w="597" w:type="pct"/>
                  <w:vAlign w:val="center"/>
                </w:tcPr>
                <w:p>
                  <w:pPr>
                    <w:pStyle w:val="63"/>
                    <w:rPr>
                      <w:rFonts w:hint="default"/>
                      <w:color w:val="auto"/>
                      <w:highlight w:val="none"/>
                    </w:rPr>
                  </w:pPr>
                  <w:r>
                    <w:rPr>
                      <w:rFonts w:hint="default"/>
                      <w:color w:val="auto"/>
                      <w:highlight w:val="none"/>
                    </w:rPr>
                    <w:t>涉重行业（电子、机械等）</w:t>
                  </w:r>
                </w:p>
              </w:tc>
              <w:tc>
                <w:tcPr>
                  <w:tcW w:w="836" w:type="pct"/>
                  <w:vAlign w:val="center"/>
                </w:tcPr>
                <w:p>
                  <w:pPr>
                    <w:pStyle w:val="63"/>
                    <w:rPr>
                      <w:rFonts w:hint="default"/>
                      <w:color w:val="auto"/>
                      <w:highlight w:val="none"/>
                    </w:rPr>
                  </w:pPr>
                  <w:r>
                    <w:rPr>
                      <w:rFonts w:hint="default"/>
                      <w:color w:val="auto"/>
                      <w:highlight w:val="none"/>
                    </w:rPr>
                    <w:t>禁止增加重金属排放量；对涉重金属行业新建、改（扩）建项目实行新增重金属污染物排放等量或倍量替代</w:t>
                  </w:r>
                </w:p>
              </w:tc>
              <w:tc>
                <w:tcPr>
                  <w:tcW w:w="2162" w:type="pct"/>
                  <w:vAlign w:val="center"/>
                </w:tcPr>
                <w:p>
                  <w:pPr>
                    <w:pStyle w:val="63"/>
                    <w:rPr>
                      <w:rFonts w:hint="default"/>
                      <w:color w:val="auto"/>
                      <w:highlight w:val="none"/>
                    </w:rPr>
                  </w:pPr>
                  <w:r>
                    <w:rPr>
                      <w:rFonts w:hint="default"/>
                      <w:color w:val="auto"/>
                      <w:highlight w:val="none"/>
                    </w:rPr>
                    <w:t>秦皇岛市土壤污染防治行动计划</w:t>
                  </w:r>
                </w:p>
              </w:tc>
              <w:tc>
                <w:tcPr>
                  <w:tcW w:w="928" w:type="pct"/>
                  <w:vAlign w:val="center"/>
                </w:tcPr>
                <w:p>
                  <w:pPr>
                    <w:pStyle w:val="63"/>
                    <w:rPr>
                      <w:rFonts w:hint="default"/>
                      <w:color w:val="auto"/>
                      <w:highlight w:val="none"/>
                    </w:rPr>
                  </w:pPr>
                  <w:r>
                    <w:rPr>
                      <w:rFonts w:hint="default"/>
                      <w:color w:val="auto"/>
                      <w:highlight w:val="none"/>
                    </w:rPr>
                    <w:t>本项目不涉及重金属排放，因此不属于限制类项目</w:t>
                  </w:r>
                </w:p>
              </w:tc>
            </w:tr>
          </w:tbl>
          <w:p>
            <w:pPr>
              <w:autoSpaceDE w:val="0"/>
              <w:autoSpaceDN w:val="0"/>
              <w:adjustRightInd w:val="0"/>
              <w:snapToGrid w:val="0"/>
              <w:ind w:firstLine="480" w:firstLineChars="200"/>
              <w:rPr>
                <w:rFonts w:hint="default"/>
                <w:color w:val="auto"/>
                <w:highlight w:val="none"/>
              </w:rPr>
            </w:pPr>
            <w:r>
              <w:rPr>
                <w:rFonts w:hint="default"/>
                <w:color w:val="auto"/>
                <w:highlight w:val="none"/>
              </w:rPr>
              <w:t>因此，项目的实施符合“三线一单”要求。</w:t>
            </w:r>
          </w:p>
          <w:p>
            <w:pPr>
              <w:ind w:firstLine="720" w:firstLineChars="300"/>
              <w:rPr>
                <w:rFonts w:hint="eastAsia"/>
                <w:color w:val="auto"/>
                <w:highlight w:val="none"/>
                <w:lang w:val="en-US" w:eastAsia="zh-CN"/>
              </w:rPr>
            </w:pPr>
            <w:r>
              <w:rPr>
                <w:rFonts w:hint="eastAsia"/>
                <w:color w:val="auto"/>
                <w:highlight w:val="none"/>
                <w:lang w:val="en-US" w:eastAsia="zh-CN"/>
              </w:rPr>
              <w:t>（5）</w:t>
            </w:r>
            <w:r>
              <w:rPr>
                <w:rFonts w:hint="default"/>
                <w:color w:val="auto"/>
                <w:highlight w:val="none"/>
                <w:lang w:val="en-US" w:eastAsia="zh-CN"/>
              </w:rPr>
              <w:t>本项目位于</w:t>
            </w:r>
            <w:r>
              <w:rPr>
                <w:rFonts w:hint="default"/>
                <w:color w:val="auto"/>
                <w:highlight w:val="none"/>
              </w:rPr>
              <w:t>秦皇岛经济</w:t>
            </w:r>
            <w:r>
              <w:rPr>
                <w:rFonts w:hint="default"/>
                <w:color w:val="auto"/>
                <w:highlight w:val="none"/>
                <w:lang w:val="en-US" w:eastAsia="zh-CN"/>
              </w:rPr>
              <w:t>技术开发区</w:t>
            </w:r>
            <w:r>
              <w:rPr>
                <w:rFonts w:hint="eastAsia"/>
                <w:color w:val="auto"/>
                <w:highlight w:val="none"/>
                <w:lang w:val="en-US" w:eastAsia="zh-CN"/>
              </w:rPr>
              <w:t>西区</w:t>
            </w:r>
            <w:r>
              <w:rPr>
                <w:rFonts w:hint="default"/>
                <w:color w:val="auto"/>
                <w:highlight w:val="none"/>
                <w:lang w:val="en-US" w:eastAsia="zh-CN"/>
              </w:rPr>
              <w:t>，</w:t>
            </w:r>
            <w:r>
              <w:rPr>
                <w:rFonts w:hint="eastAsia"/>
                <w:color w:val="auto"/>
                <w:highlight w:val="none"/>
                <w:lang w:val="en-US" w:eastAsia="zh-CN"/>
              </w:rPr>
              <w:t>属于黄河街道办事处，按照</w:t>
            </w:r>
            <w:r>
              <w:rPr>
                <w:rFonts w:hint="default"/>
                <w:color w:val="auto"/>
                <w:highlight w:val="none"/>
                <w:lang w:val="en-US" w:eastAsia="zh-CN"/>
              </w:rPr>
              <w:t>《秦皇岛市人民政府关于秦皇岛市"三线一单"生态环境分区管控的实施意见》（秦政字【2021】6号）</w:t>
            </w:r>
            <w:r>
              <w:rPr>
                <w:rFonts w:hint="eastAsia"/>
                <w:color w:val="auto"/>
                <w:highlight w:val="none"/>
                <w:lang w:val="en-US" w:eastAsia="zh-CN"/>
              </w:rPr>
              <w:t>文件中规定本项目属于重点管控区，在此区域内主要对“</w:t>
            </w:r>
            <w:r>
              <w:rPr>
                <w:rFonts w:hint="default"/>
                <w:color w:val="auto"/>
                <w:highlight w:val="none"/>
                <w:lang w:val="en-US" w:eastAsia="zh-CN"/>
              </w:rPr>
              <w:t>空间布局</w:t>
            </w:r>
            <w:r>
              <w:rPr>
                <w:rFonts w:hint="eastAsia"/>
                <w:color w:val="auto"/>
                <w:highlight w:val="none"/>
                <w:lang w:val="en-US" w:eastAsia="zh-CN"/>
              </w:rPr>
              <w:t>、污染物排放</w:t>
            </w:r>
            <w:r>
              <w:rPr>
                <w:rFonts w:hint="eastAsia"/>
                <w:color w:val="auto"/>
                <w:highlight w:val="none"/>
                <w:lang w:eastAsia="zh-CN"/>
              </w:rPr>
              <w:t>、</w:t>
            </w:r>
            <w:r>
              <w:rPr>
                <w:rFonts w:hint="eastAsia"/>
                <w:color w:val="auto"/>
                <w:highlight w:val="none"/>
                <w:lang w:val="en-US" w:eastAsia="zh-CN"/>
              </w:rPr>
              <w:t>环境风险、资源利用效率”四方面进行管控，具体如下表。</w:t>
            </w:r>
          </w:p>
          <w:p>
            <w:pPr>
              <w:pStyle w:val="45"/>
              <w:rPr>
                <w:rFonts w:hint="eastAsia"/>
                <w:color w:val="auto"/>
                <w:highlight w:val="none"/>
                <w:lang w:val="en-US" w:eastAsia="zh-CN"/>
              </w:rPr>
            </w:pPr>
            <w:r>
              <w:rPr>
                <w:rFonts w:hint="eastAsia"/>
                <w:color w:val="auto"/>
                <w:highlight w:val="none"/>
                <w:lang w:val="en-US" w:eastAsia="zh-CN"/>
              </w:rPr>
              <w:t>表1-2 本项目与秦皇岛市人民政府关于秦皇岛市"三线一单"生态环境分区管控的实施意见关系一览表</w:t>
            </w:r>
          </w:p>
          <w:tbl>
            <w:tblPr>
              <w:tblStyle w:val="3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7"/>
              <w:gridCol w:w="498"/>
              <w:gridCol w:w="4635"/>
              <w:gridCol w:w="22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70" w:type="pct"/>
                  <w:gridSpan w:val="3"/>
                  <w:noWrap w:val="0"/>
                  <w:vAlign w:val="center"/>
                </w:tcPr>
                <w:p>
                  <w:pPr>
                    <w:pStyle w:val="63"/>
                    <w:bidi w:val="0"/>
                    <w:rPr>
                      <w:rFonts w:hint="default"/>
                      <w:color w:val="auto"/>
                      <w:highlight w:val="none"/>
                      <w:lang w:val="en-US" w:eastAsia="zh-CN"/>
                    </w:rPr>
                  </w:pPr>
                  <w:r>
                    <w:rPr>
                      <w:rFonts w:hint="eastAsia"/>
                      <w:color w:val="auto"/>
                      <w:highlight w:val="none"/>
                      <w:lang w:val="en-US" w:eastAsia="zh-CN"/>
                    </w:rPr>
                    <w:t>文件内容</w:t>
                  </w:r>
                </w:p>
              </w:tc>
              <w:tc>
                <w:tcPr>
                  <w:tcW w:w="1329"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本项目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6"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一般生态空间总体要求</w:t>
                  </w:r>
                </w:p>
              </w:tc>
              <w:tc>
                <w:tcPr>
                  <w:tcW w:w="3083" w:type="pct"/>
                  <w:gridSpan w:val="2"/>
                  <w:noWrap w:val="0"/>
                  <w:vAlign w:val="center"/>
                </w:tcPr>
                <w:p>
                  <w:pPr>
                    <w:pStyle w:val="63"/>
                    <w:bidi w:val="0"/>
                    <w:rPr>
                      <w:rFonts w:hint="eastAsia"/>
                      <w:color w:val="auto"/>
                      <w:highlight w:val="none"/>
                      <w:lang w:val="en-US" w:eastAsia="zh-CN"/>
                    </w:rPr>
                  </w:pPr>
                  <w:r>
                    <w:rPr>
                      <w:rFonts w:hint="eastAsia"/>
                      <w:color w:val="auto"/>
                      <w:highlight w:val="none"/>
                      <w:lang w:val="en-US" w:eastAsia="zh-CN"/>
                    </w:rPr>
                    <w:t>1.禁止新建、扩建《环境保护综合名录（2017年版）及其最新名录所列“高污染、高风险”管控项目。</w:t>
                  </w:r>
                </w:p>
                <w:p>
                  <w:pPr>
                    <w:pStyle w:val="63"/>
                    <w:bidi w:val="0"/>
                    <w:rPr>
                      <w:rFonts w:hint="default"/>
                      <w:color w:val="auto"/>
                      <w:highlight w:val="none"/>
                      <w:lang w:val="en-US" w:eastAsia="zh-CN"/>
                    </w:rPr>
                  </w:pPr>
                  <w:r>
                    <w:rPr>
                      <w:rFonts w:hint="eastAsia"/>
                      <w:color w:val="auto"/>
                      <w:highlight w:val="none"/>
                      <w:lang w:val="en-US" w:eastAsia="zh-CN"/>
                    </w:rPr>
                    <w:t>2.区域内要严格开发区管理，原则上不再新建各类开发区和扩大现有工业开发区的面积，已有的工业开发区要逐步改造成低消耗、可循环、少排放、“零污染”的生态型工业区</w:t>
                  </w:r>
                </w:p>
              </w:tc>
              <w:tc>
                <w:tcPr>
                  <w:tcW w:w="1329"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本项目不在《环境保护综合名录（2021年版）及其最新名录所列“高污染、高风险”管控项目内、不在河北省发展和改革委员会关于加强新建“两高”项目管理的通知（冀发改环资[2022]691号）“高耗能、高排放”项目管理目录内。本项目依托原有厂房，不新增开发区内占地面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6"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土壤及地下水风险防控总体管控要求</w:t>
                  </w:r>
                </w:p>
              </w:tc>
              <w:tc>
                <w:tcPr>
                  <w:tcW w:w="299"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环境风险防控</w:t>
                  </w:r>
                </w:p>
              </w:tc>
              <w:tc>
                <w:tcPr>
                  <w:tcW w:w="2784"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1.危险废物产生企业和利用处置企业要根据土壤污染防治相关要求，完善突发环境事件应急预案内容，并向所在地环保部门备案</w:t>
                  </w:r>
                </w:p>
              </w:tc>
              <w:tc>
                <w:tcPr>
                  <w:tcW w:w="1329"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在企业建设完成后编制突发环境事件应急预案并在相关部门备案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6"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资源利用总体管控要求</w:t>
                  </w:r>
                </w:p>
              </w:tc>
              <w:tc>
                <w:tcPr>
                  <w:tcW w:w="299"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能源管控要求</w:t>
                  </w:r>
                </w:p>
              </w:tc>
              <w:tc>
                <w:tcPr>
                  <w:tcW w:w="2784"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禁燃区内不得新建燃烧煤炭、重油、渣油等高污染燃料的设施、禁止原煤燃放、推动清洁能源替代</w:t>
                  </w:r>
                </w:p>
              </w:tc>
              <w:tc>
                <w:tcPr>
                  <w:tcW w:w="1329"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企业不涉及煤炭、重油、渣油等高污染燃料燃放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noWrap w:val="0"/>
                  <w:vAlign w:val="center"/>
                </w:tcPr>
                <w:p>
                  <w:pPr>
                    <w:keepNext w:val="0"/>
                    <w:keepLines w:val="0"/>
                    <w:widowControl/>
                    <w:suppressLineNumbers w:val="0"/>
                    <w:jc w:val="left"/>
                    <w:rPr>
                      <w:rFonts w:hint="default"/>
                      <w:color w:val="auto"/>
                      <w:highlight w:val="none"/>
                      <w:lang w:val="en-US" w:eastAsia="zh-CN"/>
                    </w:rPr>
                  </w:pPr>
                  <w:r>
                    <w:rPr>
                      <w:rFonts w:hint="eastAsia" w:ascii="宋体" w:hAnsi="宋体" w:eastAsia="宋体" w:cs="宋体"/>
                      <w:color w:val="auto"/>
                      <w:kern w:val="0"/>
                      <w:sz w:val="21"/>
                      <w:szCs w:val="21"/>
                      <w:highlight w:val="none"/>
                      <w:lang w:val="en-US" w:eastAsia="zh-CN" w:bidi="ar"/>
                    </w:rPr>
                    <w:t>区域：黄河道、</w:t>
                  </w:r>
                  <w:r>
                    <w:rPr>
                      <w:rFonts w:hint="default" w:ascii="宋体" w:hAnsi="宋体" w:eastAsia="宋体" w:cs="宋体"/>
                      <w:color w:val="auto"/>
                      <w:kern w:val="0"/>
                      <w:sz w:val="21"/>
                      <w:szCs w:val="21"/>
                      <w:highlight w:val="none"/>
                      <w:lang w:val="en-US" w:eastAsia="zh-CN" w:bidi="ar"/>
                    </w:rPr>
                    <w:t>ZH13037120077</w:t>
                  </w:r>
                  <w:r>
                    <w:rPr>
                      <w:rFonts w:hint="eastAsia" w:ascii="宋体" w:hAnsi="宋体" w:eastAsia="宋体" w:cs="宋体"/>
                      <w:color w:val="auto"/>
                      <w:kern w:val="0"/>
                      <w:sz w:val="21"/>
                      <w:szCs w:val="21"/>
                      <w:highlight w:val="none"/>
                      <w:lang w:val="en-US" w:eastAsia="zh-CN" w:bidi="ar"/>
                    </w:rPr>
                    <w:t>、重点管控区——大气环境受体敏感重点管控区、大气环境布局敏感重点管控区、水环境城镇生活重点管控区、禁燃区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6" w:type="pct"/>
                  <w:noWrap w:val="0"/>
                  <w:vAlign w:val="center"/>
                </w:tcPr>
                <w:p>
                  <w:pPr>
                    <w:pStyle w:val="63"/>
                    <w:bidi w:val="0"/>
                    <w:rPr>
                      <w:rFonts w:hint="default"/>
                      <w:color w:val="auto"/>
                      <w:highlight w:val="none"/>
                      <w:lang w:val="en-US" w:eastAsia="zh-CN"/>
                    </w:rPr>
                  </w:pPr>
                  <w:r>
                    <w:rPr>
                      <w:rFonts w:hint="default"/>
                      <w:color w:val="auto"/>
                      <w:highlight w:val="none"/>
                      <w:lang w:val="en-US" w:eastAsia="zh-CN"/>
                    </w:rPr>
                    <w:t>维度</w:t>
                  </w:r>
                </w:p>
              </w:tc>
              <w:tc>
                <w:tcPr>
                  <w:tcW w:w="3083" w:type="pct"/>
                  <w:gridSpan w:val="2"/>
                  <w:noWrap w:val="0"/>
                  <w:vAlign w:val="center"/>
                </w:tcPr>
                <w:p>
                  <w:pPr>
                    <w:pStyle w:val="63"/>
                    <w:bidi w:val="0"/>
                    <w:rPr>
                      <w:rFonts w:hint="default"/>
                      <w:color w:val="auto"/>
                      <w:highlight w:val="none"/>
                      <w:lang w:val="en-US" w:eastAsia="zh-CN"/>
                    </w:rPr>
                  </w:pPr>
                  <w:r>
                    <w:rPr>
                      <w:rFonts w:hint="default"/>
                      <w:color w:val="auto"/>
                      <w:highlight w:val="none"/>
                      <w:lang w:val="en-US" w:eastAsia="zh-CN"/>
                    </w:rPr>
                    <w:t>文件内容</w:t>
                  </w:r>
                </w:p>
              </w:tc>
              <w:tc>
                <w:tcPr>
                  <w:tcW w:w="1329" w:type="pct"/>
                  <w:noWrap w:val="0"/>
                  <w:vAlign w:val="center"/>
                </w:tcPr>
                <w:p>
                  <w:pPr>
                    <w:pStyle w:val="63"/>
                    <w:bidi w:val="0"/>
                    <w:rPr>
                      <w:rFonts w:hint="default"/>
                      <w:color w:val="auto"/>
                      <w:highlight w:val="none"/>
                      <w:lang w:val="en-US" w:eastAsia="zh-CN"/>
                    </w:rPr>
                  </w:pPr>
                  <w:r>
                    <w:rPr>
                      <w:rFonts w:hint="default"/>
                      <w:color w:val="auto"/>
                      <w:highlight w:val="none"/>
                      <w:lang w:val="en-US" w:eastAsia="zh-CN"/>
                    </w:rPr>
                    <w:t>本项目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586" w:type="pct"/>
                  <w:noWrap w:val="0"/>
                  <w:vAlign w:val="center"/>
                </w:tcPr>
                <w:p>
                  <w:pPr>
                    <w:pStyle w:val="63"/>
                    <w:bidi w:val="0"/>
                    <w:rPr>
                      <w:rFonts w:hint="default"/>
                      <w:color w:val="auto"/>
                      <w:highlight w:val="none"/>
                      <w:lang w:val="en-US" w:eastAsia="zh-CN"/>
                    </w:rPr>
                  </w:pPr>
                  <w:r>
                    <w:rPr>
                      <w:rFonts w:hint="default"/>
                      <w:color w:val="auto"/>
                      <w:highlight w:val="none"/>
                      <w:lang w:val="en-US" w:eastAsia="zh-CN"/>
                    </w:rPr>
                    <w:t>空间布局约束</w:t>
                  </w:r>
                </w:p>
              </w:tc>
              <w:tc>
                <w:tcPr>
                  <w:tcW w:w="3083" w:type="pct"/>
                  <w:gridSpan w:val="2"/>
                  <w:noWrap w:val="0"/>
                  <w:vAlign w:val="center"/>
                </w:tcPr>
                <w:p>
                  <w:pPr>
                    <w:pStyle w:val="63"/>
                    <w:bidi w:val="0"/>
                    <w:jc w:val="left"/>
                    <w:rPr>
                      <w:rFonts w:hint="eastAsia"/>
                      <w:color w:val="auto"/>
                      <w:highlight w:val="none"/>
                    </w:rPr>
                  </w:pPr>
                  <w:r>
                    <w:rPr>
                      <w:rFonts w:hint="default"/>
                      <w:color w:val="auto"/>
                      <w:highlight w:val="none"/>
                      <w:lang w:val="en-US" w:eastAsia="zh-CN"/>
                    </w:rPr>
                    <w:t>1</w:t>
                  </w:r>
                  <w:r>
                    <w:rPr>
                      <w:rFonts w:hint="eastAsia"/>
                      <w:color w:val="auto"/>
                      <w:highlight w:val="none"/>
                      <w:lang w:val="en-US" w:eastAsia="zh-CN"/>
                    </w:rPr>
                    <w:t xml:space="preserve">、加快城市建成区钢铁、陶瓷、塑料行业搬迁改造或关闭退出，原则上 </w:t>
                  </w:r>
                  <w:r>
                    <w:rPr>
                      <w:rFonts w:hint="default"/>
                      <w:color w:val="auto"/>
                      <w:highlight w:val="none"/>
                      <w:lang w:val="en-US" w:eastAsia="zh-CN"/>
                    </w:rPr>
                    <w:t xml:space="preserve">2025 </w:t>
                  </w:r>
                  <w:r>
                    <w:rPr>
                      <w:rFonts w:hint="eastAsia"/>
                      <w:color w:val="auto"/>
                      <w:highlight w:val="none"/>
                      <w:lang w:val="en-US" w:eastAsia="zh-CN"/>
                    </w:rPr>
                    <w:t xml:space="preserve">年之前完成。2、对建成区内现有企业建立台账，不适宜在建成区发展的工业企业， </w:t>
                  </w:r>
                </w:p>
                <w:p>
                  <w:pPr>
                    <w:pStyle w:val="63"/>
                    <w:bidi w:val="0"/>
                    <w:jc w:val="left"/>
                    <w:rPr>
                      <w:rFonts w:hint="eastAsia"/>
                      <w:color w:val="auto"/>
                      <w:highlight w:val="none"/>
                      <w:lang w:val="en-US" w:eastAsia="zh-CN"/>
                    </w:rPr>
                  </w:pPr>
                  <w:r>
                    <w:rPr>
                      <w:rFonts w:hint="eastAsia"/>
                      <w:color w:val="auto"/>
                      <w:highlight w:val="none"/>
                      <w:lang w:val="en-US" w:eastAsia="zh-CN"/>
                    </w:rPr>
                    <w:t>根据实际纳入退城搬迁范围。3、加快推进生活垃圾焚烧处理设施建设、实现城市和县城生活垃圾无害化处理全部覆盖。</w:t>
                  </w:r>
                </w:p>
              </w:tc>
              <w:tc>
                <w:tcPr>
                  <w:tcW w:w="1329" w:type="pct"/>
                  <w:noWrap w:val="0"/>
                  <w:vAlign w:val="center"/>
                </w:tcPr>
                <w:p>
                  <w:pPr>
                    <w:pStyle w:val="63"/>
                    <w:bidi w:val="0"/>
                    <w:jc w:val="left"/>
                    <w:rPr>
                      <w:rFonts w:hint="eastAsia"/>
                      <w:color w:val="auto"/>
                      <w:highlight w:val="none"/>
                      <w:lang w:val="en-US" w:eastAsia="zh-CN"/>
                    </w:rPr>
                  </w:pPr>
                  <w:r>
                    <w:rPr>
                      <w:rFonts w:hint="eastAsia"/>
                      <w:color w:val="auto"/>
                      <w:highlight w:val="none"/>
                      <w:lang w:val="en-US" w:eastAsia="zh-CN"/>
                    </w:rPr>
                    <w:t>1.本项目为金属结构制造和汽车零部件制造，不属于</w:t>
                  </w:r>
                  <w:r>
                    <w:rPr>
                      <w:rFonts w:hint="eastAsia"/>
                      <w:color w:val="auto"/>
                      <w:highlight w:val="none"/>
                    </w:rPr>
                    <w:t>钢铁、陶瓷、塑料行业</w:t>
                  </w:r>
                  <w:r>
                    <w:rPr>
                      <w:rFonts w:hint="eastAsia"/>
                      <w:color w:val="auto"/>
                      <w:highlight w:val="none"/>
                      <w:lang w:val="en-US" w:eastAsia="zh-CN"/>
                    </w:rPr>
                    <w:t>。</w:t>
                  </w:r>
                </w:p>
                <w:p>
                  <w:pPr>
                    <w:pStyle w:val="63"/>
                    <w:jc w:val="left"/>
                    <w:rPr>
                      <w:rFonts w:hint="eastAsia"/>
                      <w:color w:val="auto"/>
                      <w:highlight w:val="none"/>
                      <w:lang w:val="en-US" w:eastAsia="zh-CN"/>
                    </w:rPr>
                  </w:pPr>
                  <w:r>
                    <w:rPr>
                      <w:rFonts w:hint="eastAsia"/>
                      <w:color w:val="auto"/>
                      <w:highlight w:val="none"/>
                      <w:lang w:val="en-US" w:eastAsia="zh-CN"/>
                    </w:rPr>
                    <w:t>2.本项目运行时会做好台账记录。</w:t>
                  </w:r>
                </w:p>
                <w:p>
                  <w:pPr>
                    <w:pStyle w:val="63"/>
                    <w:jc w:val="left"/>
                    <w:rPr>
                      <w:rFonts w:hint="eastAsia"/>
                      <w:color w:val="auto"/>
                      <w:highlight w:val="none"/>
                      <w:lang w:val="en-US" w:eastAsia="zh-CN"/>
                    </w:rPr>
                  </w:pPr>
                  <w:r>
                    <w:rPr>
                      <w:rFonts w:hint="eastAsia"/>
                      <w:color w:val="auto"/>
                      <w:highlight w:val="none"/>
                      <w:lang w:val="en-US" w:eastAsia="zh-CN"/>
                    </w:rPr>
                    <w:t>3.企业生活垃圾由环卫部门拉走处置。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 w:hRule="atLeast"/>
                <w:jc w:val="center"/>
              </w:trPr>
              <w:tc>
                <w:tcPr>
                  <w:tcW w:w="586"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污染物排放管控</w:t>
                  </w:r>
                </w:p>
              </w:tc>
              <w:tc>
                <w:tcPr>
                  <w:tcW w:w="3083" w:type="pct"/>
                  <w:gridSpan w:val="2"/>
                  <w:noWrap w:val="0"/>
                  <w:vAlign w:val="center"/>
                </w:tcPr>
                <w:p>
                  <w:pPr>
                    <w:pStyle w:val="63"/>
                    <w:bidi w:val="0"/>
                    <w:jc w:val="left"/>
                    <w:rPr>
                      <w:rFonts w:hint="default"/>
                      <w:color w:val="auto"/>
                      <w:highlight w:val="none"/>
                      <w:lang w:val="en-US" w:eastAsia="zh-CN"/>
                    </w:rPr>
                  </w:pPr>
                  <w:r>
                    <w:rPr>
                      <w:rFonts w:hint="default"/>
                      <w:color w:val="auto"/>
                      <w:highlight w:val="none"/>
                      <w:lang w:val="en-US" w:eastAsia="zh-CN"/>
                    </w:rPr>
                    <w:t>1</w:t>
                  </w:r>
                  <w:r>
                    <w:rPr>
                      <w:rFonts w:hint="eastAsia"/>
                      <w:color w:val="auto"/>
                      <w:highlight w:val="none"/>
                      <w:lang w:val="en-US" w:eastAsia="zh-CN"/>
                    </w:rPr>
                    <w:t>、完成当地下达的重金属减排指标。</w:t>
                  </w:r>
                  <w:r>
                    <w:rPr>
                      <w:rFonts w:hint="default"/>
                      <w:color w:val="auto"/>
                      <w:highlight w:val="none"/>
                      <w:lang w:val="en-US" w:eastAsia="zh-CN"/>
                    </w:rPr>
                    <w:t>2</w:t>
                  </w:r>
                  <w:r>
                    <w:rPr>
                      <w:rFonts w:hint="eastAsia"/>
                      <w:color w:val="auto"/>
                      <w:highlight w:val="none"/>
                      <w:lang w:val="en-US" w:eastAsia="zh-CN"/>
                    </w:rPr>
                    <w:t xml:space="preserve">、城市和县城建成区禁止新建 </w:t>
                  </w:r>
                  <w:r>
                    <w:rPr>
                      <w:rFonts w:hint="default"/>
                      <w:color w:val="auto"/>
                      <w:highlight w:val="none"/>
                      <w:lang w:val="en-US" w:eastAsia="zh-CN"/>
                    </w:rPr>
                    <w:t xml:space="preserve">35 </w:t>
                  </w:r>
                  <w:r>
                    <w:rPr>
                      <w:rFonts w:hint="eastAsia"/>
                      <w:color w:val="auto"/>
                      <w:highlight w:val="none"/>
                      <w:lang w:val="en-US" w:eastAsia="zh-CN"/>
                    </w:rPr>
                    <w:t>蒸吨</w:t>
                  </w:r>
                  <w:r>
                    <w:rPr>
                      <w:rFonts w:hint="default"/>
                      <w:color w:val="auto"/>
                      <w:highlight w:val="none"/>
                      <w:lang w:val="en-US" w:eastAsia="zh-CN"/>
                    </w:rPr>
                    <w:t>/</w:t>
                  </w:r>
                  <w:r>
                    <w:rPr>
                      <w:rFonts w:hint="eastAsia"/>
                      <w:color w:val="auto"/>
                      <w:highlight w:val="none"/>
                      <w:lang w:val="en-US" w:eastAsia="zh-CN"/>
                    </w:rPr>
                    <w:t>小时及以下生物质锅炉，</w:t>
                  </w:r>
                  <w:r>
                    <w:rPr>
                      <w:rFonts w:hint="default"/>
                      <w:color w:val="auto"/>
                      <w:highlight w:val="none"/>
                      <w:lang w:val="en-US" w:eastAsia="zh-CN"/>
                    </w:rPr>
                    <w:t xml:space="preserve">35 </w:t>
                  </w:r>
                  <w:r>
                    <w:rPr>
                      <w:rFonts w:hint="eastAsia"/>
                      <w:color w:val="auto"/>
                      <w:highlight w:val="none"/>
                      <w:lang w:val="en-US" w:eastAsia="zh-CN"/>
                    </w:rPr>
                    <w:t>蒸吨</w:t>
                  </w:r>
                  <w:r>
                    <w:rPr>
                      <w:rFonts w:hint="default"/>
                      <w:color w:val="auto"/>
                      <w:highlight w:val="none"/>
                      <w:lang w:val="en-US" w:eastAsia="zh-CN"/>
                    </w:rPr>
                    <w:t>/</w:t>
                  </w:r>
                  <w:r>
                    <w:rPr>
                      <w:rFonts w:hint="eastAsia"/>
                      <w:color w:val="auto"/>
                      <w:highlight w:val="none"/>
                      <w:lang w:val="en-US" w:eastAsia="zh-CN"/>
                    </w:rPr>
                    <w:t>小时以上的生物质锅炉要达到超低排放标准。</w:t>
                  </w:r>
                </w:p>
                <w:p>
                  <w:pPr>
                    <w:pStyle w:val="63"/>
                    <w:bidi w:val="0"/>
                    <w:jc w:val="left"/>
                    <w:rPr>
                      <w:rFonts w:hint="default"/>
                      <w:color w:val="auto"/>
                      <w:highlight w:val="none"/>
                      <w:lang w:val="en-US" w:eastAsia="zh-CN"/>
                    </w:rPr>
                  </w:pPr>
                  <w:r>
                    <w:rPr>
                      <w:rFonts w:hint="default"/>
                      <w:color w:val="auto"/>
                      <w:highlight w:val="none"/>
                      <w:lang w:val="en-US" w:eastAsia="zh-CN"/>
                    </w:rPr>
                    <w:t>3</w:t>
                  </w:r>
                  <w:r>
                    <w:rPr>
                      <w:rFonts w:hint="eastAsia"/>
                      <w:color w:val="auto"/>
                      <w:highlight w:val="none"/>
                      <w:lang w:val="en-US" w:eastAsia="zh-CN"/>
                    </w:rPr>
                    <w:t>、具备条件的玻璃、陶瓷企业基本完成固定源超低排放改造。</w:t>
                  </w:r>
                </w:p>
                <w:p>
                  <w:pPr>
                    <w:pStyle w:val="63"/>
                    <w:bidi w:val="0"/>
                    <w:jc w:val="left"/>
                    <w:rPr>
                      <w:rFonts w:hint="eastAsia"/>
                      <w:color w:val="auto"/>
                      <w:highlight w:val="none"/>
                      <w:lang w:val="en-US" w:eastAsia="zh-CN"/>
                    </w:rPr>
                  </w:pPr>
                  <w:r>
                    <w:rPr>
                      <w:rFonts w:hint="default"/>
                      <w:color w:val="auto"/>
                      <w:highlight w:val="none"/>
                      <w:lang w:val="en-US" w:eastAsia="zh-CN"/>
                    </w:rPr>
                    <w:t>4</w:t>
                  </w:r>
                  <w:r>
                    <w:rPr>
                      <w:rFonts w:hint="eastAsia"/>
                      <w:color w:val="auto"/>
                      <w:highlight w:val="none"/>
                      <w:lang w:val="en-US" w:eastAsia="zh-CN"/>
                    </w:rPr>
                    <w:t>、加强塑料等行业</w:t>
                  </w:r>
                  <w:r>
                    <w:rPr>
                      <w:rFonts w:hint="default"/>
                      <w:color w:val="auto"/>
                      <w:highlight w:val="none"/>
                      <w:lang w:val="en-US" w:eastAsia="zh-CN"/>
                    </w:rPr>
                    <w:t xml:space="preserve">VOCs </w:t>
                  </w:r>
                  <w:r>
                    <w:rPr>
                      <w:rFonts w:hint="eastAsia"/>
                      <w:color w:val="auto"/>
                      <w:highlight w:val="none"/>
                      <w:lang w:val="en-US" w:eastAsia="zh-CN"/>
                    </w:rPr>
                    <w:t xml:space="preserve">治理力度。重点提高涉 </w:t>
                  </w:r>
                  <w:r>
                    <w:rPr>
                      <w:rFonts w:hint="default"/>
                      <w:color w:val="auto"/>
                      <w:highlight w:val="none"/>
                      <w:lang w:val="en-US" w:eastAsia="zh-CN"/>
                    </w:rPr>
                    <w:t xml:space="preserve">VOCs </w:t>
                  </w:r>
                  <w:r>
                    <w:rPr>
                      <w:rFonts w:hint="eastAsia"/>
                      <w:color w:val="auto"/>
                      <w:highlight w:val="none"/>
                      <w:lang w:val="en-US" w:eastAsia="zh-CN"/>
                    </w:rPr>
                    <w:t xml:space="preserve">排放主要工序密闭化水平，加强无组织排放收集，加大含 </w:t>
                  </w:r>
                  <w:r>
                    <w:rPr>
                      <w:rFonts w:hint="default"/>
                      <w:color w:val="auto"/>
                      <w:highlight w:val="none"/>
                      <w:lang w:val="en-US" w:eastAsia="zh-CN"/>
                    </w:rPr>
                    <w:t xml:space="preserve">VOCs </w:t>
                  </w:r>
                  <w:r>
                    <w:rPr>
                      <w:rFonts w:hint="eastAsia"/>
                      <w:color w:val="auto"/>
                      <w:highlight w:val="none"/>
                      <w:lang w:val="en-US" w:eastAsia="zh-CN"/>
                    </w:rPr>
                    <w:t>物料储存和装卸治理力度。</w:t>
                  </w:r>
                </w:p>
              </w:tc>
              <w:tc>
                <w:tcPr>
                  <w:tcW w:w="1329" w:type="pct"/>
                  <w:noWrap w:val="0"/>
                  <w:vAlign w:val="center"/>
                </w:tcPr>
                <w:p>
                  <w:pPr>
                    <w:pStyle w:val="63"/>
                    <w:bidi w:val="0"/>
                    <w:jc w:val="left"/>
                    <w:rPr>
                      <w:rFonts w:hint="default"/>
                      <w:color w:val="auto"/>
                      <w:highlight w:val="none"/>
                      <w:lang w:val="en-US" w:eastAsia="zh-CN"/>
                    </w:rPr>
                  </w:pPr>
                  <w:r>
                    <w:rPr>
                      <w:rFonts w:hint="eastAsia"/>
                      <w:color w:val="auto"/>
                      <w:highlight w:val="none"/>
                      <w:lang w:val="en-US" w:eastAsia="zh-CN"/>
                    </w:rPr>
                    <w:t>1.本项目不涉及重金属的排放。2.本项目无锅炉的建设。3.本项目不属于玻璃、陶瓷企业。4、不涉及</w:t>
                  </w:r>
                  <w:r>
                    <w:rPr>
                      <w:rFonts w:hint="default"/>
                      <w:color w:val="auto"/>
                      <w:highlight w:val="none"/>
                      <w:lang w:val="en-US" w:eastAsia="zh-CN"/>
                    </w:rPr>
                    <w:t>VOCs</w:t>
                  </w:r>
                  <w:r>
                    <w:rPr>
                      <w:rFonts w:hint="eastAsia"/>
                      <w:color w:val="auto"/>
                      <w:highlight w:val="none"/>
                      <w:lang w:val="en-US" w:eastAsia="zh-CN"/>
                    </w:rPr>
                    <w:t>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586"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环境风险防控</w:t>
                  </w:r>
                </w:p>
              </w:tc>
              <w:tc>
                <w:tcPr>
                  <w:tcW w:w="3083" w:type="pct"/>
                  <w:gridSpan w:val="2"/>
                  <w:noWrap w:val="0"/>
                  <w:vAlign w:val="center"/>
                </w:tcPr>
                <w:p>
                  <w:pPr>
                    <w:pStyle w:val="63"/>
                    <w:bidi w:val="0"/>
                    <w:jc w:val="left"/>
                    <w:rPr>
                      <w:rFonts w:hint="default"/>
                      <w:color w:val="auto"/>
                      <w:highlight w:val="none"/>
                      <w:lang w:val="en-US" w:eastAsia="zh-CN"/>
                    </w:rPr>
                  </w:pPr>
                  <w:r>
                    <w:rPr>
                      <w:rFonts w:hint="default"/>
                      <w:color w:val="auto"/>
                      <w:highlight w:val="none"/>
                      <w:lang w:val="en-US" w:eastAsia="zh-CN"/>
                    </w:rPr>
                    <w:t>1</w:t>
                  </w:r>
                  <w:r>
                    <w:rPr>
                      <w:rFonts w:hint="eastAsia"/>
                      <w:color w:val="auto"/>
                      <w:highlight w:val="none"/>
                      <w:lang w:val="en-US" w:eastAsia="zh-CN"/>
                    </w:rPr>
                    <w:t>、对电镀企业实施强制性清洁审核，定期对企业及周边开展土壤监测。</w:t>
                  </w:r>
                  <w:r>
                    <w:rPr>
                      <w:rFonts w:hint="default"/>
                      <w:color w:val="auto"/>
                      <w:highlight w:val="none"/>
                      <w:lang w:val="en-US" w:eastAsia="zh-CN"/>
                    </w:rPr>
                    <w:t>2</w:t>
                  </w:r>
                  <w:r>
                    <w:rPr>
                      <w:rFonts w:hint="eastAsia"/>
                      <w:color w:val="auto"/>
                      <w:highlight w:val="none"/>
                      <w:lang w:val="en-US" w:eastAsia="zh-CN"/>
                    </w:rPr>
                    <w:t>、规范垃圾转运站管理，防止垃圾渗沥液直排入河。</w:t>
                  </w:r>
                </w:p>
              </w:tc>
              <w:tc>
                <w:tcPr>
                  <w:tcW w:w="1329" w:type="pct"/>
                  <w:noWrap w:val="0"/>
                  <w:vAlign w:val="center"/>
                </w:tcPr>
                <w:p>
                  <w:pPr>
                    <w:pStyle w:val="63"/>
                    <w:bidi w:val="0"/>
                    <w:jc w:val="left"/>
                    <w:rPr>
                      <w:rFonts w:hint="default"/>
                      <w:color w:val="auto"/>
                      <w:highlight w:val="none"/>
                      <w:lang w:val="en-US" w:eastAsia="zh-CN"/>
                    </w:rPr>
                  </w:pPr>
                  <w:r>
                    <w:rPr>
                      <w:rFonts w:hint="eastAsia"/>
                      <w:color w:val="auto"/>
                      <w:highlight w:val="none"/>
                      <w:lang w:val="en-US" w:eastAsia="zh-CN"/>
                    </w:rPr>
                    <w:t>1、本项目不属于电镀企业；2、企业垃圾均委托相关部门处置。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3" w:hRule="atLeast"/>
                <w:jc w:val="center"/>
              </w:trPr>
              <w:tc>
                <w:tcPr>
                  <w:tcW w:w="586" w:type="pct"/>
                  <w:noWrap w:val="0"/>
                  <w:vAlign w:val="center"/>
                </w:tcPr>
                <w:p>
                  <w:pPr>
                    <w:pStyle w:val="63"/>
                    <w:bidi w:val="0"/>
                    <w:rPr>
                      <w:rFonts w:hint="default"/>
                      <w:color w:val="auto"/>
                      <w:highlight w:val="none"/>
                      <w:lang w:val="en-US" w:eastAsia="zh-CN"/>
                    </w:rPr>
                  </w:pPr>
                  <w:r>
                    <w:rPr>
                      <w:rFonts w:hint="eastAsia"/>
                      <w:color w:val="auto"/>
                      <w:highlight w:val="none"/>
                      <w:lang w:val="en-US" w:eastAsia="zh-CN"/>
                    </w:rPr>
                    <w:t>资源利用效率</w:t>
                  </w:r>
                </w:p>
              </w:tc>
              <w:tc>
                <w:tcPr>
                  <w:tcW w:w="3083" w:type="pct"/>
                  <w:gridSpan w:val="2"/>
                  <w:noWrap w:val="0"/>
                  <w:vAlign w:val="center"/>
                </w:tcPr>
                <w:p>
                  <w:pPr>
                    <w:pStyle w:val="63"/>
                    <w:bidi w:val="0"/>
                    <w:jc w:val="left"/>
                    <w:rPr>
                      <w:rFonts w:hint="default"/>
                      <w:color w:val="auto"/>
                      <w:highlight w:val="none"/>
                      <w:lang w:val="en-US" w:eastAsia="zh-CN"/>
                    </w:rPr>
                  </w:pPr>
                  <w:r>
                    <w:rPr>
                      <w:rFonts w:hint="default"/>
                      <w:color w:val="auto"/>
                      <w:highlight w:val="none"/>
                      <w:lang w:val="en-US" w:eastAsia="zh-CN"/>
                    </w:rPr>
                    <w:t>1</w:t>
                  </w:r>
                  <w:r>
                    <w:rPr>
                      <w:rFonts w:hint="eastAsia"/>
                      <w:color w:val="auto"/>
                      <w:highlight w:val="none"/>
                      <w:lang w:val="en-US" w:eastAsia="zh-CN"/>
                    </w:rPr>
                    <w:t>、淘汰集中供热管网覆盖范围内的散煤。</w:t>
                  </w:r>
                  <w:r>
                    <w:rPr>
                      <w:rFonts w:hint="default"/>
                      <w:color w:val="auto"/>
                      <w:highlight w:val="none"/>
                      <w:lang w:val="en-US" w:eastAsia="zh-CN"/>
                    </w:rPr>
                    <w:t>2</w:t>
                  </w:r>
                  <w:r>
                    <w:rPr>
                      <w:rFonts w:hint="eastAsia"/>
                      <w:color w:val="auto"/>
                      <w:highlight w:val="none"/>
                      <w:lang w:val="en-US" w:eastAsia="zh-CN"/>
                    </w:rPr>
                    <w:t>、禁燃区内任何单位不得新建、扩建高污染燃料燃用设施，不得将其他燃料燃用设施改造为高污染燃料燃用设施。</w:t>
                  </w:r>
                  <w:r>
                    <w:rPr>
                      <w:rFonts w:hint="default"/>
                      <w:color w:val="auto"/>
                      <w:highlight w:val="none"/>
                      <w:lang w:val="en-US" w:eastAsia="zh-CN"/>
                    </w:rPr>
                    <w:t>3</w:t>
                  </w:r>
                  <w:r>
                    <w:rPr>
                      <w:rFonts w:hint="eastAsia"/>
                      <w:color w:val="auto"/>
                      <w:highlight w:val="none"/>
                      <w:lang w:val="en-US" w:eastAsia="zh-CN"/>
                    </w:rPr>
                    <w:t>、推进生活垃圾分类投放收集和安全处置，全力推进生活垃圾无害化处理和资源化利用，创新体制机制，大力发展垃圾焚烧发电，餐厨废弃物资源化利用和无害化处理项目保持规范运行。</w:t>
                  </w:r>
                </w:p>
              </w:tc>
              <w:tc>
                <w:tcPr>
                  <w:tcW w:w="1329" w:type="pct"/>
                  <w:noWrap w:val="0"/>
                  <w:vAlign w:val="center"/>
                </w:tcPr>
                <w:p>
                  <w:pPr>
                    <w:pStyle w:val="63"/>
                    <w:bidi w:val="0"/>
                    <w:jc w:val="left"/>
                    <w:rPr>
                      <w:rFonts w:hint="default"/>
                      <w:color w:val="auto"/>
                      <w:highlight w:val="none"/>
                      <w:lang w:val="en-US" w:eastAsia="zh-CN"/>
                    </w:rPr>
                  </w:pPr>
                  <w:r>
                    <w:rPr>
                      <w:rFonts w:hint="eastAsia"/>
                      <w:color w:val="auto"/>
                      <w:highlight w:val="none"/>
                      <w:lang w:val="en-US" w:eastAsia="zh-CN"/>
                    </w:rPr>
                    <w:t>1、本项目不涉及燃料的使用；2、生活垃圾收集后由环卫部门清运。</w:t>
                  </w:r>
                </w:p>
              </w:tc>
            </w:tr>
          </w:tbl>
          <w:p>
            <w:pPr>
              <w:pStyle w:val="45"/>
              <w:ind w:left="482" w:hanging="482"/>
              <w:rPr>
                <w:color w:val="auto"/>
                <w:highlight w:val="none"/>
              </w:rPr>
            </w:pPr>
            <w:r>
              <w:rPr>
                <w:rFonts w:hint="eastAsia"/>
                <w:color w:val="auto"/>
                <w:highlight w:val="none"/>
              </w:rPr>
              <w:drawing>
                <wp:inline distT="0" distB="0" distL="114300" distR="114300">
                  <wp:extent cx="4864100" cy="6334125"/>
                  <wp:effectExtent l="0" t="0" r="0" b="0"/>
                  <wp:docPr id="15" name="图片 15" descr="9abb10a0e66a53011445ae350a9c3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9abb10a0e66a53011445ae350a9c37f"/>
                          <pic:cNvPicPr>
                            <a:picLocks noChangeAspect="1"/>
                          </pic:cNvPicPr>
                        </pic:nvPicPr>
                        <pic:blipFill>
                          <a:blip r:embed="rId11"/>
                          <a:srcRect l="4167" t="3499" r="3577" b="2671"/>
                          <a:stretch>
                            <a:fillRect/>
                          </a:stretch>
                        </pic:blipFill>
                        <pic:spPr>
                          <a:xfrm>
                            <a:off x="0" y="0"/>
                            <a:ext cx="4864100" cy="6334125"/>
                          </a:xfrm>
                          <a:prstGeom prst="rect">
                            <a:avLst/>
                          </a:prstGeom>
                          <a:ln w="19050">
                            <a:solidFill>
                              <a:schemeClr val="tx1"/>
                            </a:solidFill>
                          </a:ln>
                        </pic:spPr>
                      </pic:pic>
                    </a:graphicData>
                  </a:graphic>
                </wp:inline>
              </w:drawing>
            </w:r>
          </w:p>
          <w:p>
            <w:pPr>
              <w:pStyle w:val="45"/>
              <w:ind w:left="482" w:hanging="482"/>
              <w:rPr>
                <w:color w:val="auto"/>
                <w:szCs w:val="24"/>
                <w:highlight w:val="none"/>
              </w:rPr>
            </w:pPr>
            <w:r>
              <w:rPr>
                <w:rFonts w:hint="eastAsia"/>
                <w:color w:val="auto"/>
                <w:szCs w:val="24"/>
                <w:highlight w:val="none"/>
              </w:rPr>
              <w:t>图</w:t>
            </w:r>
            <w:r>
              <w:rPr>
                <w:rFonts w:hint="eastAsia"/>
                <w:color w:val="auto"/>
                <w:szCs w:val="24"/>
                <w:highlight w:val="none"/>
                <w:lang w:val="en-US" w:eastAsia="zh-CN"/>
              </w:rPr>
              <w:t>1-</w:t>
            </w:r>
            <w:r>
              <w:rPr>
                <w:rFonts w:hint="eastAsia"/>
                <w:color w:val="auto"/>
                <w:szCs w:val="24"/>
                <w:highlight w:val="none"/>
              </w:rPr>
              <w:t>2 本项目与秦皇岛市环境管控单元分布关系图</w:t>
            </w:r>
          </w:p>
          <w:p>
            <w:pPr>
              <w:pStyle w:val="7"/>
              <w:rPr>
                <w:rFonts w:hint="default"/>
                <w:color w:val="auto"/>
                <w:highlight w:val="none"/>
              </w:rPr>
            </w:pPr>
            <w:r>
              <w:rPr>
                <w:rFonts w:hint="default"/>
                <w:color w:val="auto"/>
                <w:highlight w:val="none"/>
              </w:rPr>
              <w:t xml:space="preserve">2 </w:t>
            </w:r>
            <w:r>
              <w:rPr>
                <w:rFonts w:hint="default"/>
                <w:color w:val="auto"/>
                <w:highlight w:val="none"/>
                <w:lang w:val="en-US" w:eastAsia="zh-CN"/>
              </w:rPr>
              <w:t>产业政策</w:t>
            </w:r>
            <w:r>
              <w:rPr>
                <w:rFonts w:hint="default"/>
                <w:color w:val="auto"/>
                <w:highlight w:val="none"/>
              </w:rPr>
              <w:t>符合性</w:t>
            </w:r>
          </w:p>
          <w:p>
            <w:pPr>
              <w:ind w:firstLine="480" w:firstLineChars="200"/>
              <w:rPr>
                <w:rFonts w:hint="default"/>
                <w:color w:val="auto"/>
                <w:highlight w:val="none"/>
              </w:rPr>
            </w:pPr>
            <w:r>
              <w:rPr>
                <w:rFonts w:hint="default"/>
                <w:color w:val="auto"/>
                <w:highlight w:val="none"/>
              </w:rPr>
              <w:t>（1）项目为</w:t>
            </w:r>
            <w:r>
              <w:rPr>
                <w:rFonts w:hint="eastAsia"/>
                <w:color w:val="auto"/>
                <w:highlight w:val="none"/>
                <w:lang w:val="en-US" w:eastAsia="zh-CN"/>
              </w:rPr>
              <w:t>金属结构制造和汽车零部件制造</w:t>
            </w:r>
            <w:r>
              <w:rPr>
                <w:rFonts w:hint="default"/>
                <w:color w:val="auto"/>
                <w:highlight w:val="none"/>
              </w:rPr>
              <w:t>，不属于2019年10月30日国家发改委令第29号《产业结构调整指导目录(2019年本)》</w:t>
            </w:r>
            <w:r>
              <w:rPr>
                <w:rFonts w:hint="default" w:ascii="Times New Roman" w:hAnsi="Times New Roman" w:eastAsia="宋体" w:cs="Times New Roman"/>
                <w:color w:val="auto"/>
                <w:highlight w:val="none"/>
                <w:lang w:val="en-US" w:eastAsia="zh-CN"/>
              </w:rPr>
              <w:t>中限制类和淘汰类，</w:t>
            </w:r>
            <w:r>
              <w:rPr>
                <w:rFonts w:hint="eastAsia" w:ascii="Times New Roman" w:hAnsi="Times New Roman" w:eastAsia="宋体" w:cs="Times New Roman"/>
                <w:color w:val="auto"/>
                <w:highlight w:val="none"/>
                <w:lang w:val="en-US" w:eastAsia="zh-CN"/>
              </w:rPr>
              <w:t>不属于《市场准入负面清单（2022年版）》中禁止准入类项目，</w:t>
            </w:r>
            <w:r>
              <w:rPr>
                <w:rFonts w:hint="default" w:ascii="Times New Roman" w:hAnsi="Times New Roman" w:eastAsia="宋体" w:cs="Times New Roman"/>
                <w:color w:val="auto"/>
                <w:highlight w:val="none"/>
                <w:lang w:val="en-US" w:eastAsia="zh-CN"/>
              </w:rPr>
              <w:t>符合国家</w:t>
            </w:r>
            <w:r>
              <w:rPr>
                <w:rFonts w:hint="default"/>
                <w:color w:val="auto"/>
                <w:highlight w:val="none"/>
              </w:rPr>
              <w:t>产业政策。</w:t>
            </w:r>
          </w:p>
          <w:p>
            <w:pPr>
              <w:ind w:firstLine="480" w:firstLineChars="200"/>
              <w:rPr>
                <w:rFonts w:hint="default"/>
                <w:color w:val="auto"/>
                <w:highlight w:val="none"/>
              </w:rPr>
            </w:pPr>
            <w:r>
              <w:rPr>
                <w:rFonts w:hint="default"/>
                <w:color w:val="auto"/>
                <w:highlight w:val="none"/>
              </w:rPr>
              <w:t>（2）项目不属于《河北省新增限制和淘汰类产业目录（2015年版）》中限制和淘汰类项目，符合河北省政策要求。</w:t>
            </w:r>
          </w:p>
          <w:p>
            <w:pPr>
              <w:ind w:firstLine="480" w:firstLineChars="200"/>
              <w:rPr>
                <w:rFonts w:hint="default"/>
                <w:color w:val="auto"/>
                <w:highlight w:val="none"/>
              </w:rPr>
            </w:pPr>
            <w:r>
              <w:rPr>
                <w:rFonts w:hint="default"/>
                <w:color w:val="auto"/>
                <w:highlight w:val="none"/>
              </w:rPr>
              <w:t>（3）项目不属于秦皇岛市发展和改革委员会制定的《秦皇岛市限制和禁止投资的产业目录（2020年修订版）》中限制类和淘汰类，符合秦皇岛市产业政策要求。</w:t>
            </w:r>
          </w:p>
          <w:p>
            <w:pPr>
              <w:ind w:firstLine="480" w:firstLineChars="200"/>
              <w:rPr>
                <w:rFonts w:hint="default"/>
                <w:color w:val="auto"/>
                <w:highlight w:val="none"/>
              </w:rPr>
            </w:pPr>
            <w:r>
              <w:rPr>
                <w:rFonts w:hint="default"/>
                <w:color w:val="auto"/>
                <w:highlight w:val="none"/>
              </w:rPr>
              <w:t>（</w:t>
            </w:r>
            <w:r>
              <w:rPr>
                <w:rFonts w:hint="eastAsia"/>
                <w:color w:val="auto"/>
                <w:highlight w:val="none"/>
                <w:lang w:val="en-US" w:eastAsia="zh-CN"/>
              </w:rPr>
              <w:t>4</w:t>
            </w:r>
            <w:r>
              <w:rPr>
                <w:rFonts w:hint="default"/>
                <w:color w:val="auto"/>
                <w:highlight w:val="none"/>
              </w:rPr>
              <w:t>）经查询《</w:t>
            </w:r>
            <w:r>
              <w:rPr>
                <w:rFonts w:hint="eastAsia"/>
                <w:color w:val="auto"/>
                <w:highlight w:val="none"/>
                <w:lang w:val="en-US" w:eastAsia="zh-CN"/>
              </w:rPr>
              <w:t>淘汰</w:t>
            </w:r>
            <w:r>
              <w:rPr>
                <w:rFonts w:hint="default"/>
                <w:color w:val="auto"/>
                <w:highlight w:val="none"/>
              </w:rPr>
              <w:t>落后</w:t>
            </w:r>
            <w:r>
              <w:rPr>
                <w:rFonts w:hint="eastAsia"/>
                <w:color w:val="auto"/>
                <w:highlight w:val="none"/>
                <w:lang w:val="en-US" w:eastAsia="zh-CN"/>
              </w:rPr>
              <w:t>生产能力、工艺和产品的目录</w:t>
            </w:r>
            <w:r>
              <w:rPr>
                <w:rFonts w:hint="default"/>
                <w:color w:val="auto"/>
                <w:highlight w:val="none"/>
              </w:rPr>
              <w:t>》、《产业结构调整指导目录(2019年本)》及《排污许可申请与核发技术规范 总则》（HJ942-2018），本项目所使用原料、设备、污染物治理工艺均不属于落后淘汰设备。</w:t>
            </w:r>
          </w:p>
          <w:p>
            <w:pPr>
              <w:rPr>
                <w:rFonts w:hint="default"/>
                <w:color w:val="auto"/>
                <w:highlight w:val="none"/>
              </w:rPr>
            </w:pPr>
            <w:r>
              <w:rPr>
                <w:rFonts w:hint="default"/>
                <w:color w:val="auto"/>
                <w:highlight w:val="none"/>
                <w:lang w:val="en-US" w:eastAsia="zh-CN"/>
              </w:rPr>
              <w:t>（</w:t>
            </w:r>
            <w:r>
              <w:rPr>
                <w:rFonts w:hint="eastAsia"/>
                <w:color w:val="auto"/>
                <w:highlight w:val="none"/>
                <w:lang w:val="en-US" w:eastAsia="zh-CN"/>
              </w:rPr>
              <w:t>5</w:t>
            </w:r>
            <w:r>
              <w:rPr>
                <w:rFonts w:hint="default"/>
                <w:color w:val="auto"/>
                <w:highlight w:val="none"/>
                <w:lang w:val="en-US" w:eastAsia="zh-CN"/>
              </w:rPr>
              <w:t>）</w:t>
            </w:r>
            <w:r>
              <w:rPr>
                <w:rFonts w:hint="default"/>
                <w:color w:val="auto"/>
                <w:highlight w:val="none"/>
              </w:rPr>
              <w:t>本项目已取得秦皇岛经济技术开发区行政审批局企业投资项目备案信息，备案编号：</w:t>
            </w:r>
            <w:r>
              <w:rPr>
                <w:rFonts w:hint="eastAsia"/>
                <w:color w:val="auto"/>
                <w:highlight w:val="none"/>
                <w:lang w:eastAsia="zh-CN"/>
              </w:rPr>
              <w:t>冀秦区备字〔2023〕167号</w:t>
            </w:r>
            <w:r>
              <w:rPr>
                <w:rFonts w:hint="default"/>
                <w:color w:val="auto"/>
                <w:highlight w:val="none"/>
              </w:rPr>
              <w:t>，项目代码：</w:t>
            </w:r>
            <w:r>
              <w:rPr>
                <w:rFonts w:hint="eastAsia"/>
                <w:color w:val="auto"/>
                <w:highlight w:val="none"/>
                <w:lang w:val="en-US" w:eastAsia="zh-CN"/>
              </w:rPr>
              <w:t>2306-130371-89-05-348368</w:t>
            </w:r>
            <w:r>
              <w:rPr>
                <w:rFonts w:hint="default"/>
                <w:color w:val="auto"/>
                <w:highlight w:val="none"/>
              </w:rPr>
              <w:t>。</w:t>
            </w:r>
          </w:p>
          <w:p>
            <w:pPr>
              <w:pStyle w:val="7"/>
              <w:rPr>
                <w:rFonts w:hint="default"/>
                <w:color w:val="auto"/>
                <w:highlight w:val="none"/>
              </w:rPr>
            </w:pPr>
            <w:r>
              <w:rPr>
                <w:rFonts w:hint="default"/>
                <w:color w:val="auto"/>
                <w:highlight w:val="none"/>
              </w:rPr>
              <w:t>3 选址符合性</w:t>
            </w:r>
          </w:p>
          <w:p>
            <w:pPr>
              <w:autoSpaceDE w:val="0"/>
              <w:autoSpaceDN w:val="0"/>
              <w:adjustRightInd w:val="0"/>
              <w:snapToGrid w:val="0"/>
              <w:ind w:firstLine="480" w:firstLineChars="200"/>
              <w:rPr>
                <w:rFonts w:hint="default"/>
                <w:color w:val="auto"/>
                <w:highlight w:val="none"/>
              </w:rPr>
            </w:pPr>
            <w:r>
              <w:rPr>
                <w:rFonts w:hint="default"/>
                <w:color w:val="auto"/>
                <w:highlight w:val="none"/>
              </w:rPr>
              <w:t>本项目位于</w:t>
            </w:r>
            <w:r>
              <w:rPr>
                <w:rFonts w:hint="eastAsia"/>
                <w:color w:val="auto"/>
                <w:highlight w:val="none"/>
                <w:lang w:val="en-US" w:eastAsia="zh-CN"/>
              </w:rPr>
              <w:t>秦皇岛经济技术开发区天山北路8号</w:t>
            </w:r>
            <w:r>
              <w:rPr>
                <w:rFonts w:hint="default"/>
                <w:color w:val="auto"/>
                <w:highlight w:val="none"/>
              </w:rPr>
              <w:t>，用地类型为工业用地，符合秦皇岛市土地利用总体规划要求同时符合秦皇岛市城乡规划要求。</w:t>
            </w:r>
          </w:p>
          <w:p>
            <w:pPr>
              <w:autoSpaceDE w:val="0"/>
              <w:autoSpaceDN w:val="0"/>
              <w:adjustRightInd w:val="0"/>
              <w:snapToGrid w:val="0"/>
              <w:ind w:firstLine="480" w:firstLineChars="200"/>
              <w:rPr>
                <w:rFonts w:hint="default"/>
                <w:color w:val="auto"/>
                <w:highlight w:val="none"/>
              </w:rPr>
            </w:pPr>
            <w:r>
              <w:rPr>
                <w:rFonts w:hint="default"/>
                <w:color w:val="auto"/>
                <w:highlight w:val="none"/>
              </w:rPr>
              <w:t>厂址周围无饮用水源保护区、自然保护区和风景名胜区等敏感区域。项目不在国土资源部、国家发展和改革委员会发布的《限制用地项目目录（2012年本）》和《禁止用地项目目录（2012年本）》的范围内，不属于《河北省环境敏感区支持、限制及禁止建设项目名录（2005年本）》中的限制、禁止内容</w:t>
            </w:r>
            <w:r>
              <w:rPr>
                <w:rFonts w:hint="eastAsia"/>
                <w:color w:val="auto"/>
                <w:highlight w:val="none"/>
                <w:lang w:eastAsia="zh-CN"/>
              </w:rPr>
              <w:t>，</w:t>
            </w:r>
            <w:r>
              <w:rPr>
                <w:rFonts w:hint="default" w:ascii="Times New Roman" w:hAnsi="Times New Roman" w:eastAsia="宋体" w:cs="Times New Roman"/>
                <w:color w:val="auto"/>
                <w:kern w:val="0"/>
                <w:sz w:val="24"/>
                <w:szCs w:val="24"/>
                <w:highlight w:val="none"/>
                <w:lang w:val="en-US" w:eastAsia="zh-CN" w:bidi="ar"/>
              </w:rPr>
              <w:t>从规划、土地类型、环保角度考虑，本项目的选址可行</w:t>
            </w:r>
            <w:r>
              <w:rPr>
                <w:rFonts w:hint="default"/>
                <w:color w:val="auto"/>
                <w:highlight w:val="none"/>
              </w:rPr>
              <w:t>。</w:t>
            </w:r>
          </w:p>
          <w:p>
            <w:pPr>
              <w:pStyle w:val="7"/>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4</w:t>
            </w:r>
            <w:r>
              <w:rPr>
                <w:rFonts w:hint="default" w:ascii="Times New Roman" w:hAnsi="Times New Roman" w:cs="Times New Roman"/>
                <w:color w:val="auto"/>
                <w:highlight w:val="none"/>
              </w:rPr>
              <w:t xml:space="preserve"> </w:t>
            </w:r>
            <w:r>
              <w:rPr>
                <w:rFonts w:hint="eastAsia" w:cs="Times New Roman"/>
                <w:color w:val="auto"/>
                <w:highlight w:val="none"/>
                <w:lang w:val="en-US" w:eastAsia="zh-CN"/>
              </w:rPr>
              <w:t>平面布局合理性</w:t>
            </w:r>
          </w:p>
          <w:p>
            <w:pPr>
              <w:autoSpaceDE w:val="0"/>
              <w:autoSpaceDN w:val="0"/>
              <w:adjustRightInd w:val="0"/>
              <w:snapToGrid w:val="0"/>
              <w:ind w:firstLine="480" w:firstLineChars="200"/>
              <w:rPr>
                <w:rFonts w:hint="default"/>
                <w:color w:val="auto"/>
                <w:highlight w:val="none"/>
                <w:lang w:val="en-US" w:eastAsia="zh-CN"/>
              </w:rPr>
            </w:pPr>
            <w:r>
              <w:rPr>
                <w:rFonts w:hint="default"/>
                <w:color w:val="auto"/>
                <w:highlight w:val="none"/>
                <w:lang w:val="en-US" w:eastAsia="zh-CN"/>
              </w:rPr>
              <w:t>本</w:t>
            </w:r>
            <w:r>
              <w:rPr>
                <w:rFonts w:hint="eastAsia"/>
                <w:color w:val="auto"/>
                <w:highlight w:val="none"/>
                <w:lang w:val="en-US" w:eastAsia="zh-CN"/>
              </w:rPr>
              <w:t>项目位于秦皇岛经济技术开发区天山北路8号，厂房内设备布局合理，主要生产区、半成品区、成品区等</w:t>
            </w:r>
            <w:r>
              <w:rPr>
                <w:rFonts w:hint="default"/>
                <w:color w:val="auto"/>
                <w:highlight w:val="none"/>
                <w:lang w:val="en-US" w:eastAsia="zh-CN"/>
              </w:rPr>
              <w:t>；办公区位于厂区</w:t>
            </w:r>
            <w:r>
              <w:rPr>
                <w:rFonts w:hint="eastAsia"/>
                <w:color w:val="auto"/>
                <w:highlight w:val="none"/>
                <w:lang w:val="en-US" w:eastAsia="zh-CN"/>
              </w:rPr>
              <w:t>东南</w:t>
            </w:r>
            <w:r>
              <w:rPr>
                <w:rFonts w:hint="default"/>
                <w:color w:val="auto"/>
                <w:highlight w:val="none"/>
                <w:lang w:val="en-US" w:eastAsia="zh-CN"/>
              </w:rPr>
              <w:t>侧，实现了生产和办公的分离，满足生产及办公需求。</w:t>
            </w:r>
          </w:p>
          <w:p>
            <w:pPr>
              <w:autoSpaceDE w:val="0"/>
              <w:autoSpaceDN w:val="0"/>
              <w:adjustRightInd w:val="0"/>
              <w:snapToGrid w:val="0"/>
              <w:ind w:firstLine="480" w:firstLineChars="200"/>
              <w:rPr>
                <w:rFonts w:hint="eastAsia"/>
                <w:color w:val="auto"/>
                <w:highlight w:val="none"/>
                <w:lang w:val="en-US" w:eastAsia="zh-CN"/>
              </w:rPr>
            </w:pPr>
            <w:r>
              <w:rPr>
                <w:rFonts w:hint="eastAsia"/>
                <w:color w:val="auto"/>
                <w:highlight w:val="none"/>
                <w:lang w:val="en-US" w:eastAsia="zh-CN"/>
              </w:rPr>
              <w:t>本项目的产噪设备较少且均置于厂房内，放置在远离居民的一端，因此布局合理。</w:t>
            </w:r>
          </w:p>
          <w:p>
            <w:pPr>
              <w:autoSpaceDE w:val="0"/>
              <w:autoSpaceDN w:val="0"/>
              <w:adjustRightInd w:val="0"/>
              <w:snapToGrid w:val="0"/>
              <w:ind w:firstLine="480" w:firstLineChars="200"/>
              <w:rPr>
                <w:rFonts w:hint="default" w:eastAsiaTheme="minorEastAsia"/>
                <w:color w:val="auto"/>
                <w:highlight w:val="none"/>
                <w:lang w:val="en-US" w:eastAsia="zh-CN"/>
              </w:rPr>
            </w:pPr>
            <w:r>
              <w:rPr>
                <w:rFonts w:hint="default"/>
                <w:color w:val="auto"/>
                <w:highlight w:val="none"/>
                <w:lang w:val="en-US" w:eastAsia="zh-CN"/>
              </w:rPr>
              <w:t>总平面布置各功能分区明确、间距合理、工艺流程顺畅，在生产厂房布局时满足工艺流程，也满足功能分区要求及运输作业要求，从整体来看，项目平面布置是合理的</w:t>
            </w:r>
            <w:r>
              <w:rPr>
                <w:rFonts w:hint="default"/>
                <w:color w:val="auto"/>
                <w:highlight w:val="none"/>
              </w:rPr>
              <w:t>。</w:t>
            </w:r>
            <w:r>
              <w:rPr>
                <w:rFonts w:hint="eastAsia"/>
                <w:color w:val="auto"/>
                <w:highlight w:val="none"/>
                <w:lang w:val="en-US" w:eastAsia="zh-CN"/>
              </w:rPr>
              <w:t xml:space="preserve"> </w:t>
            </w:r>
          </w:p>
        </w:tc>
      </w:tr>
    </w:tbl>
    <w:p>
      <w:pPr>
        <w:outlineLvl w:val="0"/>
        <w:rPr>
          <w:rFonts w:hint="default" w:ascii="Times New Roman" w:hAnsi="Times New Roman" w:eastAsia="黑体" w:cs="Times New Roman"/>
          <w:color w:val="auto"/>
          <w:sz w:val="30"/>
          <w:highlight w:val="none"/>
        </w:rPr>
        <w:sectPr>
          <w:footerReference r:id="rId5" w:type="default"/>
          <w:pgSz w:w="11906" w:h="16838"/>
          <w:pgMar w:top="1701" w:right="1531" w:bottom="1701" w:left="1531" w:header="851" w:footer="1077" w:gutter="0"/>
          <w:pgNumType w:start="1"/>
          <w:cols w:space="720" w:num="1"/>
          <w:docGrid w:linePitch="312" w:charSpace="0"/>
        </w:sectPr>
      </w:pPr>
    </w:p>
    <w:p>
      <w:pPr>
        <w:pStyle w:val="5"/>
        <w:rPr>
          <w:rFonts w:hint="default" w:ascii="Times New Roman" w:hAnsi="Times New Roman" w:cs="Times New Roman"/>
          <w:color w:val="auto"/>
          <w:highlight w:val="none"/>
        </w:rPr>
      </w:pPr>
      <w:r>
        <w:rPr>
          <w:rFonts w:hint="default" w:ascii="Times New Roman" w:hAnsi="Times New Roman" w:cs="Times New Roman"/>
          <w:color w:val="auto"/>
          <w:highlight w:val="none"/>
        </w:rPr>
        <w:t>二、建设项目工程分析</w:t>
      </w:r>
    </w:p>
    <w:tbl>
      <w:tblPr>
        <w:tblStyle w:val="31"/>
        <w:tblW w:w="907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527"/>
        <w:gridCol w:w="854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97" w:hRule="atLeast"/>
          <w:jc w:val="center"/>
        </w:trPr>
        <w:tc>
          <w:tcPr>
            <w:tcW w:w="527" w:type="dxa"/>
            <w:vAlign w:val="center"/>
          </w:tcPr>
          <w:p>
            <w:pPr>
              <w:pStyle w:val="6"/>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jc w:val="both"/>
              <w:rPr>
                <w:rFonts w:hint="default"/>
                <w:color w:val="auto"/>
                <w:highlight w:val="none"/>
              </w:rPr>
            </w:pPr>
          </w:p>
          <w:p>
            <w:pPr>
              <w:pStyle w:val="6"/>
              <w:rPr>
                <w:rFonts w:hint="default"/>
                <w:color w:val="auto"/>
                <w:highlight w:val="none"/>
              </w:rPr>
            </w:pPr>
            <w:r>
              <w:rPr>
                <w:rFonts w:hint="default"/>
                <w:color w:val="auto"/>
                <w:highlight w:val="none"/>
              </w:rPr>
              <w:t>建设内容</w:t>
            </w: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jc w:val="both"/>
              <w:rPr>
                <w:rFonts w:hint="default"/>
                <w:color w:val="auto"/>
                <w:highlight w:val="none"/>
              </w:rPr>
            </w:pPr>
          </w:p>
          <w:p>
            <w:pPr>
              <w:pStyle w:val="6"/>
              <w:rPr>
                <w:rFonts w:hint="default"/>
                <w:color w:val="auto"/>
                <w:highlight w:val="none"/>
              </w:rPr>
            </w:pPr>
            <w:r>
              <w:rPr>
                <w:rFonts w:hint="default"/>
                <w:color w:val="auto"/>
                <w:highlight w:val="none"/>
              </w:rPr>
              <w:t>建设内容</w:t>
            </w: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pStyle w:val="6"/>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r>
              <w:rPr>
                <w:rFonts w:hint="default"/>
                <w:color w:val="auto"/>
                <w:highlight w:val="none"/>
              </w:rPr>
              <w:t>建设内容</w:t>
            </w: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rPr>
                <w:rFonts w:hint="default"/>
                <w:color w:val="auto"/>
                <w:highlight w:val="none"/>
              </w:rPr>
            </w:pPr>
          </w:p>
          <w:p>
            <w:pPr>
              <w:pStyle w:val="30"/>
              <w:ind w:left="480" w:firstLine="480"/>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rPr>
                <w:rFonts w:hint="default"/>
                <w:color w:val="auto"/>
                <w:highlight w:val="none"/>
              </w:rPr>
            </w:pPr>
          </w:p>
          <w:p>
            <w:pPr>
              <w:pStyle w:val="43"/>
              <w:rPr>
                <w:rFonts w:hint="default"/>
                <w:color w:val="auto"/>
                <w:highlight w:val="none"/>
              </w:rPr>
            </w:pPr>
          </w:p>
          <w:p>
            <w:pPr>
              <w:pStyle w:val="43"/>
              <w:rPr>
                <w:rFonts w:hint="default"/>
                <w:color w:val="auto"/>
                <w:highlight w:val="none"/>
              </w:rPr>
            </w:pPr>
          </w:p>
          <w:p>
            <w:pPr>
              <w:pStyle w:val="43"/>
              <w:rPr>
                <w:rFonts w:hint="default"/>
                <w:color w:val="auto"/>
                <w:highlight w:val="none"/>
              </w:rPr>
            </w:pPr>
          </w:p>
          <w:p>
            <w:pPr>
              <w:pStyle w:val="43"/>
              <w:rPr>
                <w:rFonts w:hint="default"/>
                <w:color w:val="auto"/>
                <w:highlight w:val="none"/>
              </w:rPr>
            </w:pPr>
          </w:p>
          <w:p>
            <w:pPr>
              <w:pStyle w:val="43"/>
              <w:rPr>
                <w:rFonts w:hint="default"/>
                <w:color w:val="auto"/>
                <w:highlight w:val="none"/>
              </w:rPr>
            </w:pPr>
          </w:p>
          <w:p>
            <w:pPr>
              <w:pStyle w:val="43"/>
              <w:rPr>
                <w:rFonts w:hint="default"/>
                <w:color w:val="auto"/>
                <w:highlight w:val="none"/>
              </w:rPr>
            </w:pPr>
          </w:p>
          <w:p>
            <w:pPr>
              <w:pStyle w:val="43"/>
              <w:rPr>
                <w:rFonts w:hint="default"/>
                <w:color w:val="auto"/>
                <w:highlight w:val="none"/>
              </w:rPr>
            </w:pPr>
          </w:p>
          <w:p>
            <w:pPr>
              <w:pStyle w:val="43"/>
              <w:rPr>
                <w:rFonts w:hint="default"/>
                <w:color w:val="auto"/>
                <w:highlight w:val="none"/>
              </w:rPr>
            </w:pPr>
          </w:p>
          <w:p>
            <w:pPr>
              <w:pStyle w:val="43"/>
              <w:rPr>
                <w:rFonts w:hint="default"/>
                <w:color w:val="auto"/>
                <w:highlight w:val="none"/>
              </w:rPr>
            </w:pPr>
          </w:p>
          <w:p>
            <w:pPr>
              <w:pStyle w:val="43"/>
              <w:rPr>
                <w:rFonts w:hint="default"/>
                <w:color w:val="auto"/>
                <w:highlight w:val="none"/>
              </w:rPr>
            </w:pPr>
          </w:p>
          <w:p>
            <w:pPr>
              <w:pStyle w:val="43"/>
              <w:rPr>
                <w:rFonts w:hint="default"/>
                <w:color w:val="auto"/>
                <w:highlight w:val="none"/>
              </w:rPr>
            </w:pPr>
          </w:p>
          <w:p>
            <w:pPr>
              <w:pStyle w:val="6"/>
              <w:rPr>
                <w:rFonts w:hint="eastAsia"/>
                <w:color w:val="auto"/>
                <w:highlight w:val="none"/>
                <w:lang w:val="en-US" w:eastAsia="zh-CN"/>
              </w:rPr>
            </w:pPr>
            <w:r>
              <w:rPr>
                <w:rFonts w:hint="eastAsia"/>
                <w:color w:val="auto"/>
                <w:highlight w:val="none"/>
                <w:lang w:val="en-US" w:eastAsia="zh-CN"/>
              </w:rPr>
              <w:t>建设内容</w:t>
            </w:r>
          </w:p>
          <w:p>
            <w:pPr>
              <w:pStyle w:val="7"/>
              <w:rPr>
                <w:rFonts w:hint="default"/>
                <w:color w:val="auto"/>
                <w:highlight w:val="none"/>
              </w:rPr>
            </w:pPr>
          </w:p>
          <w:p>
            <w:pPr>
              <w:rPr>
                <w:rFonts w:hint="default"/>
                <w:color w:val="auto"/>
                <w:highlight w:val="none"/>
              </w:rPr>
            </w:pPr>
          </w:p>
          <w:p>
            <w:pPr>
              <w:pStyle w:val="40"/>
              <w:rPr>
                <w:rFonts w:hint="default"/>
                <w:color w:val="auto"/>
                <w:highlight w:val="none"/>
              </w:rPr>
            </w:pPr>
          </w:p>
          <w:p>
            <w:pPr>
              <w:pStyle w:val="40"/>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ind w:left="0" w:leftChars="0" w:firstLine="0" w:firstLineChars="0"/>
              <w:rPr>
                <w:rFonts w:hint="default"/>
                <w:color w:val="auto"/>
                <w:highlight w:val="none"/>
              </w:rPr>
            </w:pPr>
          </w:p>
          <w:p>
            <w:pPr>
              <w:pStyle w:val="43"/>
              <w:rPr>
                <w:rFonts w:hint="eastAsia"/>
                <w:color w:val="auto"/>
                <w:highlight w:val="none"/>
                <w:lang w:eastAsia="zh-CN"/>
              </w:rPr>
            </w:pPr>
            <w:r>
              <w:rPr>
                <w:rFonts w:hint="eastAsia"/>
                <w:color w:val="auto"/>
                <w:highlight w:val="none"/>
                <w:lang w:eastAsia="zh-CN"/>
              </w:rPr>
              <w:t>、</w:t>
            </w:r>
          </w:p>
          <w:p>
            <w:pPr>
              <w:pStyle w:val="6"/>
              <w:rPr>
                <w:rFonts w:hint="eastAsia"/>
                <w:color w:val="auto"/>
                <w:highlight w:val="none"/>
                <w:lang w:val="en-US" w:eastAsia="zh-CN"/>
              </w:rPr>
            </w:pPr>
          </w:p>
          <w:p>
            <w:pPr>
              <w:pStyle w:val="6"/>
              <w:rPr>
                <w:rFonts w:hint="eastAsia"/>
                <w:color w:val="auto"/>
                <w:highlight w:val="none"/>
                <w:lang w:val="en-US" w:eastAsia="zh-CN"/>
              </w:rPr>
            </w:pPr>
          </w:p>
          <w:p>
            <w:pPr>
              <w:pStyle w:val="6"/>
              <w:rPr>
                <w:rFonts w:hint="eastAsia"/>
                <w:color w:val="auto"/>
                <w:highlight w:val="none"/>
                <w:lang w:val="en-US" w:eastAsia="zh-CN"/>
              </w:rPr>
            </w:pPr>
          </w:p>
          <w:p>
            <w:pPr>
              <w:rPr>
                <w:rFonts w:hint="eastAsia"/>
                <w:color w:val="auto"/>
                <w:highlight w:val="none"/>
                <w:lang w:val="en-US" w:eastAsia="zh-CN"/>
              </w:rPr>
            </w:pPr>
          </w:p>
          <w:p>
            <w:pPr>
              <w:pStyle w:val="40"/>
              <w:rPr>
                <w:rFonts w:hint="eastAsia"/>
                <w:color w:val="auto"/>
                <w:highlight w:val="none"/>
                <w:lang w:val="en-US" w:eastAsia="zh-CN"/>
              </w:rPr>
            </w:pPr>
          </w:p>
          <w:p>
            <w:pPr>
              <w:pStyle w:val="6"/>
              <w:rPr>
                <w:rFonts w:hint="eastAsia"/>
                <w:color w:val="auto"/>
                <w:highlight w:val="none"/>
                <w:lang w:val="en-US" w:eastAsia="zh-CN"/>
              </w:rPr>
            </w:pPr>
            <w:r>
              <w:rPr>
                <w:rFonts w:hint="eastAsia"/>
                <w:color w:val="auto"/>
                <w:highlight w:val="none"/>
                <w:lang w:val="en-US" w:eastAsia="zh-CN"/>
              </w:rPr>
              <w:t>建设内容</w:t>
            </w: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rPr>
                <w:rFonts w:hint="default"/>
                <w:color w:val="auto"/>
                <w:highlight w:val="none"/>
              </w:rPr>
            </w:pPr>
          </w:p>
          <w:p>
            <w:pPr>
              <w:pStyle w:val="2"/>
              <w:rPr>
                <w:rFonts w:hint="default"/>
                <w:color w:val="auto"/>
                <w:highlight w:val="none"/>
              </w:rPr>
            </w:pPr>
          </w:p>
          <w:p>
            <w:pPr>
              <w:ind w:left="0" w:leftChars="0" w:firstLine="0" w:firstLineChars="0"/>
              <w:rPr>
                <w:rFonts w:hint="default"/>
                <w:color w:val="auto"/>
                <w:highlight w:val="none"/>
              </w:rPr>
            </w:pPr>
          </w:p>
          <w:p>
            <w:pPr>
              <w:pStyle w:val="43"/>
              <w:rPr>
                <w:rFonts w:hint="eastAsia"/>
                <w:color w:val="auto"/>
                <w:highlight w:val="none"/>
                <w:lang w:eastAsia="zh-CN"/>
              </w:rPr>
            </w:pPr>
            <w:r>
              <w:rPr>
                <w:rFonts w:hint="eastAsia"/>
                <w:color w:val="auto"/>
                <w:highlight w:val="none"/>
                <w:lang w:eastAsia="zh-CN"/>
              </w:rPr>
              <w:t>、</w:t>
            </w:r>
          </w:p>
          <w:p>
            <w:pPr>
              <w:pStyle w:val="6"/>
              <w:rPr>
                <w:rFonts w:hint="eastAsia"/>
                <w:color w:val="auto"/>
                <w:highlight w:val="none"/>
                <w:lang w:val="en-US" w:eastAsia="zh-CN"/>
              </w:rPr>
            </w:pPr>
          </w:p>
          <w:p>
            <w:pPr>
              <w:pStyle w:val="6"/>
              <w:rPr>
                <w:rFonts w:hint="eastAsia"/>
                <w:color w:val="auto"/>
                <w:highlight w:val="none"/>
                <w:lang w:val="en-US" w:eastAsia="zh-CN"/>
              </w:rPr>
            </w:pPr>
          </w:p>
          <w:p>
            <w:pPr>
              <w:pStyle w:val="6"/>
              <w:rPr>
                <w:rFonts w:hint="eastAsia"/>
                <w:color w:val="auto"/>
                <w:highlight w:val="none"/>
                <w:lang w:val="en-US" w:eastAsia="zh-CN"/>
              </w:rPr>
            </w:pPr>
          </w:p>
          <w:p>
            <w:pPr>
              <w:rPr>
                <w:rFonts w:hint="eastAsia"/>
                <w:color w:val="auto"/>
                <w:highlight w:val="none"/>
                <w:lang w:val="en-US" w:eastAsia="zh-CN"/>
              </w:rPr>
            </w:pPr>
          </w:p>
          <w:p>
            <w:pPr>
              <w:pStyle w:val="2"/>
              <w:rPr>
                <w:rFonts w:hint="eastAsia"/>
                <w:color w:val="auto"/>
                <w:highlight w:val="none"/>
                <w:lang w:val="en-US" w:eastAsia="zh-CN"/>
              </w:rPr>
            </w:pPr>
          </w:p>
          <w:p>
            <w:pPr>
              <w:pStyle w:val="3"/>
              <w:rPr>
                <w:rFonts w:hint="eastAsia"/>
                <w:color w:val="auto"/>
                <w:highlight w:val="none"/>
                <w:lang w:val="en-US" w:eastAsia="zh-CN"/>
              </w:rPr>
            </w:pPr>
          </w:p>
          <w:p>
            <w:pPr>
              <w:pStyle w:val="4"/>
              <w:rPr>
                <w:rFonts w:hint="eastAsia"/>
                <w:color w:val="auto"/>
                <w:highlight w:val="none"/>
                <w:lang w:val="en-US" w:eastAsia="zh-CN"/>
              </w:rPr>
            </w:pPr>
          </w:p>
          <w:p>
            <w:pPr>
              <w:pStyle w:val="4"/>
              <w:rPr>
                <w:rFonts w:hint="eastAsia"/>
                <w:color w:val="auto"/>
                <w:highlight w:val="none"/>
                <w:lang w:val="en-US" w:eastAsia="zh-CN"/>
              </w:rPr>
            </w:pPr>
          </w:p>
          <w:p>
            <w:pPr>
              <w:pStyle w:val="4"/>
              <w:rPr>
                <w:rFonts w:hint="eastAsia"/>
                <w:color w:val="auto"/>
                <w:highlight w:val="none"/>
                <w:lang w:val="en-US" w:eastAsia="zh-CN"/>
              </w:rPr>
            </w:pPr>
          </w:p>
          <w:p>
            <w:pPr>
              <w:pStyle w:val="4"/>
              <w:rPr>
                <w:rFonts w:hint="eastAsia"/>
                <w:color w:val="auto"/>
                <w:highlight w:val="none"/>
                <w:lang w:val="en-US" w:eastAsia="zh-CN"/>
              </w:rPr>
            </w:pPr>
          </w:p>
          <w:p>
            <w:pPr>
              <w:rPr>
                <w:rFonts w:hint="eastAsia"/>
                <w:color w:val="auto"/>
                <w:highlight w:val="none"/>
                <w:lang w:val="en-US" w:eastAsia="zh-CN"/>
              </w:rPr>
            </w:pPr>
          </w:p>
          <w:p>
            <w:pPr>
              <w:pStyle w:val="40"/>
              <w:rPr>
                <w:rFonts w:hint="eastAsia"/>
                <w:color w:val="auto"/>
                <w:highlight w:val="none"/>
                <w:lang w:val="en-US" w:eastAsia="zh-CN"/>
              </w:rPr>
            </w:pPr>
          </w:p>
          <w:p>
            <w:pPr>
              <w:pStyle w:val="6"/>
              <w:rPr>
                <w:rFonts w:hint="eastAsia"/>
                <w:color w:val="auto"/>
                <w:highlight w:val="none"/>
                <w:lang w:val="en-US" w:eastAsia="zh-CN"/>
              </w:rPr>
            </w:pPr>
            <w:r>
              <w:rPr>
                <w:rFonts w:hint="eastAsia"/>
                <w:color w:val="auto"/>
                <w:highlight w:val="none"/>
                <w:lang w:val="en-US" w:eastAsia="zh-CN"/>
              </w:rPr>
              <w:t>建设内容</w:t>
            </w: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6"/>
              <w:rPr>
                <w:rFonts w:hint="eastAsia"/>
                <w:color w:val="auto"/>
                <w:highlight w:val="none"/>
                <w:lang w:val="en-US" w:eastAsia="zh-CN"/>
              </w:rPr>
            </w:pPr>
          </w:p>
          <w:p>
            <w:pPr>
              <w:pStyle w:val="6"/>
              <w:rPr>
                <w:rFonts w:hint="eastAsia"/>
                <w:color w:val="auto"/>
                <w:highlight w:val="none"/>
                <w:lang w:val="en-US" w:eastAsia="zh-CN"/>
              </w:rPr>
            </w:pPr>
          </w:p>
          <w:p>
            <w:pPr>
              <w:rPr>
                <w:rFonts w:hint="eastAsia"/>
                <w:color w:val="auto"/>
                <w:highlight w:val="none"/>
                <w:lang w:val="en-US" w:eastAsia="zh-CN"/>
              </w:rPr>
            </w:pPr>
          </w:p>
          <w:p>
            <w:pPr>
              <w:pStyle w:val="2"/>
              <w:rPr>
                <w:rFonts w:hint="eastAsia"/>
                <w:color w:val="auto"/>
                <w:highlight w:val="none"/>
                <w:lang w:val="en-US" w:eastAsia="zh-CN"/>
              </w:rPr>
            </w:pPr>
          </w:p>
          <w:p>
            <w:pPr>
              <w:pStyle w:val="3"/>
              <w:rPr>
                <w:rFonts w:hint="eastAsia"/>
                <w:color w:val="auto"/>
                <w:highlight w:val="none"/>
                <w:lang w:val="en-US" w:eastAsia="zh-CN"/>
              </w:rPr>
            </w:pPr>
          </w:p>
          <w:p>
            <w:pPr>
              <w:pStyle w:val="4"/>
              <w:rPr>
                <w:rFonts w:hint="eastAsia"/>
                <w:color w:val="auto"/>
                <w:highlight w:val="none"/>
                <w:lang w:val="en-US" w:eastAsia="zh-CN"/>
              </w:rPr>
            </w:pPr>
          </w:p>
          <w:p>
            <w:pPr>
              <w:pStyle w:val="4"/>
              <w:rPr>
                <w:rFonts w:hint="eastAsia"/>
                <w:color w:val="auto"/>
                <w:highlight w:val="none"/>
                <w:lang w:val="en-US" w:eastAsia="zh-CN"/>
              </w:rPr>
            </w:pPr>
          </w:p>
          <w:p>
            <w:pPr>
              <w:pStyle w:val="4"/>
              <w:rPr>
                <w:rFonts w:hint="eastAsia"/>
                <w:color w:val="auto"/>
                <w:highlight w:val="none"/>
                <w:lang w:val="en-US" w:eastAsia="zh-CN"/>
              </w:rPr>
            </w:pPr>
          </w:p>
          <w:p>
            <w:pPr>
              <w:pStyle w:val="4"/>
              <w:rPr>
                <w:rFonts w:hint="eastAsia"/>
                <w:color w:val="auto"/>
                <w:highlight w:val="none"/>
                <w:lang w:val="en-US" w:eastAsia="zh-CN"/>
              </w:rPr>
            </w:pPr>
          </w:p>
          <w:p>
            <w:pPr>
              <w:rPr>
                <w:rFonts w:hint="eastAsia"/>
                <w:color w:val="auto"/>
                <w:highlight w:val="none"/>
                <w:lang w:val="en-US" w:eastAsia="zh-CN"/>
              </w:rPr>
            </w:pPr>
          </w:p>
          <w:p>
            <w:pPr>
              <w:pStyle w:val="40"/>
              <w:rPr>
                <w:rFonts w:hint="eastAsia"/>
                <w:color w:val="auto"/>
                <w:highlight w:val="none"/>
                <w:lang w:val="en-US" w:eastAsia="zh-CN"/>
              </w:rPr>
            </w:pPr>
          </w:p>
          <w:p>
            <w:pPr>
              <w:pStyle w:val="6"/>
              <w:rPr>
                <w:rFonts w:hint="eastAsia"/>
                <w:color w:val="auto"/>
                <w:highlight w:val="none"/>
                <w:lang w:val="en-US" w:eastAsia="zh-CN"/>
              </w:rPr>
            </w:pPr>
            <w:r>
              <w:rPr>
                <w:rFonts w:hint="eastAsia"/>
                <w:color w:val="auto"/>
                <w:highlight w:val="none"/>
                <w:lang w:val="en-US" w:eastAsia="zh-CN"/>
              </w:rPr>
              <w:t>建设内容</w:t>
            </w: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color w:val="auto"/>
                <w:highlight w:val="none"/>
              </w:rPr>
            </w:pPr>
          </w:p>
          <w:p>
            <w:pPr>
              <w:pStyle w:val="7"/>
              <w:rPr>
                <w:rFonts w:hint="default" w:ascii="Times New Roman" w:hAnsi="Times New Roman" w:cs="Times New Roman"/>
                <w:color w:val="auto"/>
                <w:sz w:val="24"/>
                <w:highlight w:val="none"/>
              </w:rPr>
            </w:pPr>
          </w:p>
          <w:p>
            <w:pPr>
              <w:pStyle w:val="7"/>
              <w:rPr>
                <w:rFonts w:hint="default" w:ascii="Times New Roman" w:hAnsi="Times New Roman" w:cs="Times New Roman"/>
                <w:color w:val="auto"/>
                <w:sz w:val="24"/>
                <w:highlight w:val="none"/>
              </w:rPr>
            </w:pPr>
          </w:p>
          <w:p>
            <w:pPr>
              <w:pStyle w:val="7"/>
              <w:rPr>
                <w:rFonts w:hint="default" w:ascii="Times New Roman" w:hAnsi="Times New Roman" w:cs="Times New Roman"/>
                <w:color w:val="auto"/>
                <w:sz w:val="24"/>
                <w:highlight w:val="none"/>
              </w:rPr>
            </w:pPr>
          </w:p>
          <w:p>
            <w:pPr>
              <w:pStyle w:val="7"/>
              <w:rPr>
                <w:rFonts w:hint="default" w:ascii="Times New Roman" w:hAnsi="Times New Roman" w:cs="Times New Roman"/>
                <w:color w:val="auto"/>
                <w:sz w:val="24"/>
                <w:highlight w:val="none"/>
              </w:rPr>
            </w:pPr>
          </w:p>
          <w:p>
            <w:pPr>
              <w:pStyle w:val="7"/>
              <w:rPr>
                <w:rFonts w:hint="default" w:ascii="Times New Roman" w:hAnsi="Times New Roman" w:cs="Times New Roman"/>
                <w:color w:val="auto"/>
                <w:sz w:val="24"/>
                <w:highlight w:val="none"/>
              </w:rPr>
            </w:pPr>
          </w:p>
          <w:p>
            <w:pPr>
              <w:pStyle w:val="7"/>
              <w:rPr>
                <w:rFonts w:hint="default" w:ascii="Times New Roman" w:hAnsi="Times New Roman" w:cs="Times New Roman"/>
                <w:color w:val="auto"/>
                <w:sz w:val="24"/>
                <w:highlight w:val="none"/>
              </w:rPr>
            </w:pPr>
          </w:p>
          <w:p>
            <w:pPr>
              <w:pStyle w:val="7"/>
              <w:rPr>
                <w:rFonts w:hint="default" w:ascii="Times New Roman" w:hAnsi="Times New Roman" w:cs="Times New Roman"/>
                <w:color w:val="auto"/>
                <w:sz w:val="24"/>
                <w:highlight w:val="none"/>
              </w:rPr>
            </w:pPr>
          </w:p>
          <w:p>
            <w:pPr>
              <w:pStyle w:val="7"/>
              <w:rPr>
                <w:rFonts w:hint="default" w:ascii="Times New Roman" w:hAnsi="Times New Roman" w:cs="Times New Roman"/>
                <w:color w:val="auto"/>
                <w:sz w:val="24"/>
                <w:highlight w:val="none"/>
              </w:rPr>
            </w:pPr>
          </w:p>
          <w:p>
            <w:pPr>
              <w:rPr>
                <w:rFonts w:hint="default" w:ascii="Times New Roman" w:hAnsi="Times New Roman" w:cs="Times New Roman"/>
                <w:color w:val="auto"/>
                <w:sz w:val="24"/>
                <w:highlight w:val="none"/>
              </w:rPr>
            </w:pPr>
          </w:p>
          <w:p>
            <w:pPr>
              <w:pStyle w:val="43"/>
              <w:rPr>
                <w:rFonts w:hint="default"/>
                <w:color w:val="auto"/>
                <w:highlight w:val="none"/>
              </w:rPr>
            </w:pPr>
          </w:p>
          <w:p>
            <w:pPr>
              <w:pStyle w:val="7"/>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工艺流程和产排污环节</w:t>
            </w:r>
          </w:p>
          <w:p>
            <w:pPr>
              <w:pStyle w:val="7"/>
              <w:rPr>
                <w:rFonts w:hint="default" w:ascii="Times New Roman" w:hAnsi="Times New Roman" w:cs="Times New Roman"/>
                <w:color w:val="auto"/>
                <w:sz w:val="24"/>
                <w:highlight w:val="none"/>
              </w:rPr>
            </w:pPr>
          </w:p>
          <w:p>
            <w:pPr>
              <w:pStyle w:val="7"/>
              <w:rPr>
                <w:rFonts w:hint="default" w:ascii="Times New Roman" w:hAnsi="Times New Roman" w:cs="Times New Roman"/>
                <w:color w:val="auto"/>
                <w:sz w:val="24"/>
                <w:highlight w:val="none"/>
              </w:rPr>
            </w:pPr>
          </w:p>
          <w:p>
            <w:pPr>
              <w:pStyle w:val="7"/>
              <w:rPr>
                <w:rFonts w:hint="default" w:ascii="Times New Roman" w:hAnsi="Times New Roman" w:cs="Times New Roman"/>
                <w:color w:val="auto"/>
                <w:sz w:val="24"/>
                <w:highlight w:val="none"/>
              </w:rPr>
            </w:pPr>
          </w:p>
          <w:p>
            <w:pPr>
              <w:pStyle w:val="7"/>
              <w:rPr>
                <w:rFonts w:hint="default" w:ascii="Times New Roman" w:hAnsi="Times New Roman" w:cs="Times New Roman"/>
                <w:color w:val="auto"/>
                <w:sz w:val="24"/>
                <w:highlight w:val="none"/>
              </w:rPr>
            </w:pPr>
          </w:p>
          <w:p>
            <w:pPr>
              <w:pStyle w:val="7"/>
              <w:rPr>
                <w:rFonts w:hint="default" w:ascii="Times New Roman" w:hAnsi="Times New Roman" w:cs="Times New Roman"/>
                <w:color w:val="auto"/>
                <w:sz w:val="24"/>
                <w:highlight w:val="none"/>
              </w:rPr>
            </w:pPr>
          </w:p>
          <w:p>
            <w:pPr>
              <w:pStyle w:val="7"/>
              <w:rPr>
                <w:rFonts w:hint="default" w:ascii="Times New Roman" w:hAnsi="Times New Roman" w:cs="Times New Roman"/>
                <w:color w:val="auto"/>
                <w:sz w:val="24"/>
                <w:highlight w:val="none"/>
              </w:rPr>
            </w:pPr>
          </w:p>
          <w:p>
            <w:pPr>
              <w:pStyle w:val="7"/>
              <w:rPr>
                <w:rFonts w:hint="default" w:ascii="Times New Roman" w:hAnsi="Times New Roman" w:cs="Times New Roman"/>
                <w:color w:val="auto"/>
                <w:sz w:val="24"/>
                <w:highlight w:val="none"/>
              </w:rPr>
            </w:pPr>
          </w:p>
          <w:p>
            <w:pPr>
              <w:pStyle w:val="4"/>
              <w:ind w:left="0" w:leftChars="0" w:firstLine="0" w:firstLineChars="0"/>
              <w:rPr>
                <w:rFonts w:hint="default" w:ascii="Times New Roman" w:hAnsi="Times New Roman" w:cs="Times New Roman"/>
                <w:color w:val="auto"/>
                <w:highlight w:val="none"/>
              </w:rPr>
            </w:pPr>
          </w:p>
          <w:p>
            <w:pPr>
              <w:pStyle w:val="4"/>
              <w:ind w:left="0" w:leftChars="0" w:firstLine="0" w:firstLineChars="0"/>
              <w:rPr>
                <w:rFonts w:hint="default" w:ascii="Times New Roman" w:hAnsi="Times New Roman" w:cs="Times New Roman"/>
                <w:color w:val="auto"/>
                <w:highlight w:val="none"/>
              </w:rPr>
            </w:pPr>
          </w:p>
          <w:p>
            <w:pPr>
              <w:pStyle w:val="4"/>
              <w:rPr>
                <w:rFonts w:hint="default" w:ascii="Times New Roman" w:hAnsi="Times New Roman" w:cs="Times New Roman"/>
                <w:color w:val="auto"/>
                <w:highlight w:val="none"/>
              </w:rPr>
            </w:pPr>
          </w:p>
        </w:tc>
        <w:tc>
          <w:tcPr>
            <w:tcW w:w="8544" w:type="dxa"/>
          </w:tcPr>
          <w:p>
            <w:pPr>
              <w:pStyle w:val="7"/>
              <w:ind w:firstLine="0" w:firstLineChars="0"/>
              <w:jc w:val="left"/>
              <w:rPr>
                <w:rFonts w:ascii="Times New Roman" w:hAnsi="Times New Roman" w:eastAsia="宋体" w:cs="Times New Roman"/>
                <w:b/>
                <w:bCs w:val="0"/>
                <w:color w:val="auto"/>
                <w:sz w:val="28"/>
                <w:szCs w:val="24"/>
                <w:highlight w:val="none"/>
                <w:lang w:val="en-US" w:eastAsia="zh-CN"/>
              </w:rPr>
            </w:pPr>
            <w:r>
              <w:rPr>
                <w:rFonts w:hint="eastAsia" w:ascii="Times New Roman" w:hAnsi="Times New Roman" w:eastAsia="宋体" w:cs="Times New Roman"/>
                <w:b/>
                <w:bCs w:val="0"/>
                <w:color w:val="auto"/>
                <w:sz w:val="28"/>
                <w:szCs w:val="24"/>
                <w:highlight w:val="none"/>
                <w:lang w:val="en-US" w:eastAsia="zh-CN"/>
              </w:rPr>
              <w:t>1、项目由来</w:t>
            </w:r>
          </w:p>
          <w:p>
            <w:pPr>
              <w:ind w:firstLine="48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秦皇岛开发区隆兴工贸有限公司（以下简称隆兴工贸有限公司）注册时间为2000年11月06日，厂址位于秦皇岛市经济技术开发区天山北路8号，该项目2003年2月13日建成投产，年产800t</w:t>
            </w:r>
            <w:r>
              <w:rPr>
                <w:rFonts w:hint="eastAsia" w:cs="Times New Roman"/>
                <w:color w:val="auto"/>
                <w:highlight w:val="none"/>
                <w:lang w:val="en-US" w:eastAsia="zh-CN"/>
              </w:rPr>
              <w:t>耐火</w:t>
            </w:r>
            <w:r>
              <w:rPr>
                <w:rFonts w:hint="eastAsia" w:ascii="Times New Roman" w:hAnsi="Times New Roman" w:eastAsia="宋体" w:cs="Times New Roman"/>
                <w:color w:val="auto"/>
                <w:highlight w:val="none"/>
                <w:lang w:val="en-US" w:eastAsia="zh-CN"/>
              </w:rPr>
              <w:t>铸造材料。</w:t>
            </w:r>
          </w:p>
          <w:p>
            <w:pPr>
              <w:ind w:firstLine="48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隆兴工贸有限公司于2003年8月28日编制建设项目环境影响登记表，2003年8月28日秦皇岛经济技术开发区环境保护局进行批复同意项目建设。于2007年2月13日经秦皇岛经济技术开发区环境保护局竣工验收合格。（批复文件见附件）。</w:t>
            </w:r>
          </w:p>
          <w:p>
            <w:pPr>
              <w:ind w:firstLine="48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2020年为满足客户需求，建设单位投资100万</w:t>
            </w:r>
            <w:r>
              <w:rPr>
                <w:rFonts w:hint="eastAsia" w:cs="Times New Roman"/>
                <w:color w:val="auto"/>
                <w:highlight w:val="none"/>
                <w:lang w:val="en-US" w:eastAsia="zh-CN"/>
              </w:rPr>
              <w:t>进行扩建项目，</w:t>
            </w:r>
            <w:r>
              <w:rPr>
                <w:rFonts w:hint="eastAsia" w:ascii="Times New Roman" w:hAnsi="Times New Roman" w:eastAsia="宋体" w:cs="Times New Roman"/>
                <w:color w:val="auto"/>
                <w:highlight w:val="none"/>
                <w:lang w:val="en-US" w:eastAsia="zh-CN"/>
              </w:rPr>
              <w:t>项目改扩建后年产800t</w:t>
            </w:r>
            <w:r>
              <w:rPr>
                <w:rFonts w:hint="eastAsia" w:cs="Times New Roman"/>
                <w:color w:val="auto"/>
                <w:highlight w:val="none"/>
                <w:lang w:val="en-US" w:eastAsia="zh-CN"/>
              </w:rPr>
              <w:t>耐火</w:t>
            </w:r>
            <w:r>
              <w:rPr>
                <w:rFonts w:hint="eastAsia" w:ascii="Times New Roman" w:hAnsi="Times New Roman" w:eastAsia="宋体" w:cs="Times New Roman"/>
                <w:color w:val="auto"/>
                <w:highlight w:val="none"/>
                <w:lang w:val="en-US" w:eastAsia="zh-CN"/>
              </w:rPr>
              <w:t>铸造材料、</w:t>
            </w:r>
            <w:r>
              <w:rPr>
                <w:rFonts w:hint="eastAsia" w:cs="Times New Roman"/>
                <w:color w:val="auto"/>
                <w:highlight w:val="none"/>
                <w:lang w:val="en-US" w:eastAsia="zh-CN"/>
              </w:rPr>
              <w:t>热</w:t>
            </w:r>
            <w:r>
              <w:rPr>
                <w:rFonts w:hint="eastAsia" w:ascii="Times New Roman" w:hAnsi="Times New Roman" w:eastAsia="宋体" w:cs="Times New Roman"/>
                <w:color w:val="auto"/>
                <w:highlight w:val="none"/>
                <w:lang w:val="en-US" w:eastAsia="zh-CN"/>
              </w:rPr>
              <w:t>砂芯2000吨。改扩建项目于2020年通过秦皇岛市生态环境局经济技术开发区分局审批，文号为秦开环建表[2020]第05号，于2020年5月7日通过自主验收。</w:t>
            </w:r>
          </w:p>
          <w:p>
            <w:pPr>
              <w:ind w:firstLine="48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根据市场需求，建设单位投资</w:t>
            </w:r>
            <w:r>
              <w:rPr>
                <w:rFonts w:hint="eastAsia" w:cs="Times New Roman"/>
                <w:color w:val="auto"/>
                <w:highlight w:val="none"/>
                <w:lang w:val="en-US" w:eastAsia="zh-CN"/>
              </w:rPr>
              <w:t>3</w:t>
            </w:r>
            <w:r>
              <w:rPr>
                <w:rFonts w:hint="eastAsia" w:ascii="Times New Roman" w:hAnsi="Times New Roman" w:eastAsia="宋体" w:cs="Times New Roman"/>
                <w:color w:val="auto"/>
                <w:highlight w:val="none"/>
                <w:lang w:val="en-US" w:eastAsia="zh-CN"/>
              </w:rPr>
              <w:t>50万元建设本项目，本项目建设完成后年新增加工轮毂</w:t>
            </w:r>
            <w:r>
              <w:rPr>
                <w:rFonts w:hint="eastAsia" w:cs="Times New Roman"/>
                <w:color w:val="auto"/>
                <w:highlight w:val="none"/>
                <w:lang w:val="en-US" w:eastAsia="zh-CN"/>
              </w:rPr>
              <w:t>及铝制品10000件</w:t>
            </w:r>
            <w:r>
              <w:rPr>
                <w:rFonts w:hint="eastAsia" w:ascii="Times New Roman" w:hAnsi="Times New Roman" w:eastAsia="宋体" w:cs="Times New Roman"/>
                <w:color w:val="auto"/>
                <w:highlight w:val="none"/>
                <w:lang w:val="en-US" w:eastAsia="zh-CN"/>
              </w:rPr>
              <w:t>，年</w:t>
            </w:r>
            <w:r>
              <w:rPr>
                <w:rFonts w:hint="eastAsia" w:cs="Times New Roman"/>
                <w:color w:val="auto"/>
                <w:highlight w:val="none"/>
                <w:lang w:val="en-US" w:eastAsia="zh-CN"/>
              </w:rPr>
              <w:t>产加工后的</w:t>
            </w:r>
            <w:r>
              <w:rPr>
                <w:rFonts w:hint="eastAsia" w:ascii="Times New Roman" w:hAnsi="Times New Roman" w:eastAsia="宋体" w:cs="Times New Roman"/>
                <w:color w:val="auto"/>
                <w:highlight w:val="none"/>
                <w:lang w:val="en-US" w:eastAsia="zh-CN"/>
              </w:rPr>
              <w:t>钢板</w:t>
            </w:r>
            <w:r>
              <w:rPr>
                <w:rFonts w:hint="eastAsia" w:cs="Times New Roman"/>
                <w:color w:val="auto"/>
                <w:highlight w:val="none"/>
                <w:lang w:val="en-US" w:eastAsia="zh-CN"/>
              </w:rPr>
              <w:t>500</w:t>
            </w:r>
            <w:r>
              <w:rPr>
                <w:rFonts w:hint="eastAsia" w:ascii="Times New Roman" w:hAnsi="Times New Roman" w:eastAsia="宋体" w:cs="Times New Roman"/>
                <w:color w:val="auto"/>
                <w:highlight w:val="none"/>
                <w:lang w:val="en-US" w:eastAsia="zh-CN"/>
              </w:rPr>
              <w:t>t。</w:t>
            </w:r>
          </w:p>
          <w:p>
            <w:pPr>
              <w:ind w:firstLine="480"/>
              <w:rPr>
                <w:color w:val="auto"/>
                <w:highlight w:val="none"/>
              </w:rPr>
            </w:pPr>
            <w:r>
              <w:rPr>
                <w:color w:val="auto"/>
                <w:highlight w:val="none"/>
              </w:rPr>
              <w:t>根据《中华人民共和国环境影响评价法》、《建设项目环境保护管理条例》、《建设项目环境影响评价分类管理名录》（2021年版 生态环境部第16号令），本项目属于</w:t>
            </w:r>
            <w:r>
              <w:rPr>
                <w:rFonts w:hint="eastAsia"/>
                <w:color w:val="auto"/>
                <w:highlight w:val="none"/>
                <w:lang w:eastAsia="zh-CN"/>
              </w:rPr>
              <w:t>“</w:t>
            </w:r>
            <w:r>
              <w:rPr>
                <w:rFonts w:hint="default" w:ascii="Times New Roman" w:hAnsi="Times New Roman" w:cs="Times New Roman"/>
                <w:color w:val="auto"/>
                <w:highlight w:val="none"/>
                <w:lang w:val="en-US" w:eastAsia="zh-CN"/>
              </w:rPr>
              <w:t>三十</w:t>
            </w:r>
            <w:r>
              <w:rPr>
                <w:rFonts w:hint="eastAsia" w:ascii="Times New Roman" w:hAnsi="Times New Roman" w:cs="Times New Roman"/>
                <w:color w:val="auto"/>
                <w:highlight w:val="none"/>
                <w:lang w:val="en-US" w:eastAsia="zh-CN"/>
              </w:rPr>
              <w:t>三、汽车制造36，71.汽车零部件及配件制造367——其他类</w:t>
            </w:r>
            <w:r>
              <w:rPr>
                <w:rFonts w:hint="eastAsia"/>
                <w:color w:val="auto"/>
                <w:highlight w:val="none"/>
                <w:lang w:eastAsia="zh-CN"/>
              </w:rPr>
              <w:t>”</w:t>
            </w:r>
            <w:r>
              <w:rPr>
                <w:rFonts w:hint="eastAsia" w:ascii="Times New Roman" w:hAnsi="Times New Roman" w:cs="Times New Roman"/>
                <w:color w:val="auto"/>
                <w:highlight w:val="none"/>
                <w:lang w:val="en-US" w:eastAsia="zh-CN"/>
              </w:rPr>
              <w:t>和</w:t>
            </w:r>
            <w:r>
              <w:rPr>
                <w:rFonts w:hint="eastAsia"/>
                <w:color w:val="auto"/>
                <w:highlight w:val="none"/>
                <w:lang w:eastAsia="zh-CN"/>
              </w:rPr>
              <w:t>“</w:t>
            </w:r>
            <w:r>
              <w:rPr>
                <w:rFonts w:hint="eastAsia" w:ascii="Times New Roman" w:hAnsi="Times New Roman" w:cs="Times New Roman"/>
                <w:color w:val="auto"/>
                <w:highlight w:val="none"/>
                <w:lang w:val="en-US" w:eastAsia="zh-CN"/>
              </w:rPr>
              <w:t>三十、金属制品业33，66.结构性金属制品制造——其他类</w:t>
            </w:r>
            <w:r>
              <w:rPr>
                <w:rFonts w:hint="eastAsia"/>
                <w:color w:val="auto"/>
                <w:highlight w:val="none"/>
                <w:lang w:eastAsia="zh-CN"/>
              </w:rPr>
              <w:t>”</w:t>
            </w:r>
            <w:r>
              <w:rPr>
                <w:rFonts w:hint="eastAsia"/>
                <w:color w:val="auto"/>
                <w:highlight w:val="none"/>
              </w:rPr>
              <w:t>，</w:t>
            </w:r>
            <w:r>
              <w:rPr>
                <w:rFonts w:hint="eastAsia"/>
                <w:color w:val="auto"/>
                <w:highlight w:val="none"/>
                <w:lang w:val="en-US" w:eastAsia="zh-CN"/>
              </w:rPr>
              <w:t>均</w:t>
            </w:r>
            <w:r>
              <w:rPr>
                <w:rFonts w:hint="eastAsia"/>
                <w:color w:val="auto"/>
                <w:highlight w:val="none"/>
              </w:rPr>
              <w:t>属于</w:t>
            </w:r>
            <w:r>
              <w:rPr>
                <w:color w:val="auto"/>
                <w:highlight w:val="none"/>
              </w:rPr>
              <w:t>报告表类项目</w:t>
            </w:r>
            <w:r>
              <w:rPr>
                <w:rFonts w:hint="eastAsia"/>
                <w:color w:val="auto"/>
                <w:highlight w:val="none"/>
                <w:lang w:eastAsia="zh-CN"/>
              </w:rPr>
              <w:t>。</w:t>
            </w:r>
            <w:r>
              <w:rPr>
                <w:color w:val="auto"/>
                <w:highlight w:val="none"/>
              </w:rPr>
              <w:t>为此，</w:t>
            </w:r>
            <w:r>
              <w:rPr>
                <w:rFonts w:hint="eastAsia" w:ascii="Times New Roman" w:hAnsi="Times New Roman" w:eastAsia="宋体" w:cs="Times New Roman"/>
                <w:color w:val="auto"/>
                <w:highlight w:val="none"/>
                <w:lang w:val="en-US" w:eastAsia="zh-CN"/>
              </w:rPr>
              <w:t>秦皇岛开发区隆兴工贸有限公司</w:t>
            </w:r>
            <w:r>
              <w:rPr>
                <w:color w:val="auto"/>
                <w:highlight w:val="none"/>
              </w:rPr>
              <w:t xml:space="preserve">委托我公司开展该项目的环境影响评价工作，编制环境影响报告表。评价单位接受委托后，根据国家有关环境影响评价工作的技术要求，结合工程和项目所在地的特点，在现场踏勘、收集资料、并依据有关资料和同类工程分析、类比的基础上，编制完成该项目环境影响报告表。 </w:t>
            </w:r>
          </w:p>
          <w:p>
            <w:pPr>
              <w:pStyle w:val="7"/>
              <w:ind w:firstLine="0" w:firstLineChars="0"/>
              <w:jc w:val="left"/>
              <w:rPr>
                <w:rFonts w:hint="eastAsia" w:ascii="Times New Roman" w:hAnsi="Times New Roman" w:eastAsia="宋体" w:cs="Times New Roman"/>
                <w:b/>
                <w:bCs w:val="0"/>
                <w:color w:val="auto"/>
                <w:sz w:val="28"/>
                <w:szCs w:val="24"/>
                <w:highlight w:val="none"/>
                <w:lang w:val="en-US" w:eastAsia="zh-CN"/>
              </w:rPr>
            </w:pPr>
            <w:r>
              <w:rPr>
                <w:rFonts w:hint="eastAsia" w:ascii="Times New Roman" w:hAnsi="Times New Roman" w:eastAsia="宋体" w:cs="Times New Roman"/>
                <w:b/>
                <w:bCs w:val="0"/>
                <w:color w:val="auto"/>
                <w:sz w:val="28"/>
                <w:szCs w:val="24"/>
                <w:highlight w:val="none"/>
                <w:lang w:val="en-US" w:eastAsia="zh-CN"/>
              </w:rPr>
              <w:t xml:space="preserve">2、现有工程概况 </w:t>
            </w:r>
          </w:p>
          <w:p>
            <w:pPr>
              <w:pStyle w:val="8"/>
              <w:spacing w:before="0" w:after="0" w:line="360" w:lineRule="auto"/>
              <w:ind w:firstLine="0" w:firstLineChars="0"/>
              <w:jc w:val="left"/>
              <w:rPr>
                <w:rFonts w:hint="eastAsia" w:ascii="Times New Roman" w:hAnsi="Times New Roman" w:eastAsia="宋体" w:cs="Times New Roman"/>
                <w:bCs w:val="0"/>
                <w:color w:val="auto"/>
                <w:kern w:val="2"/>
                <w:sz w:val="24"/>
                <w:szCs w:val="21"/>
                <w:highlight w:val="none"/>
              </w:rPr>
            </w:pPr>
            <w:r>
              <w:rPr>
                <w:rFonts w:hint="eastAsia" w:ascii="Times New Roman" w:hAnsi="Times New Roman" w:eastAsia="宋体" w:cs="Times New Roman"/>
                <w:bCs w:val="0"/>
                <w:color w:val="auto"/>
                <w:kern w:val="2"/>
                <w:sz w:val="24"/>
                <w:szCs w:val="21"/>
                <w:highlight w:val="none"/>
              </w:rPr>
              <w:t>2.1</w:t>
            </w:r>
            <w:r>
              <w:rPr>
                <w:rFonts w:hint="eastAsia" w:ascii="Times New Roman" w:hAnsi="Times New Roman" w:eastAsia="宋体" w:cs="Times New Roman"/>
                <w:bCs w:val="0"/>
                <w:color w:val="auto"/>
                <w:kern w:val="2"/>
                <w:sz w:val="24"/>
                <w:szCs w:val="21"/>
                <w:highlight w:val="none"/>
                <w:lang w:eastAsia="zh-CN"/>
              </w:rPr>
              <w:t>、</w:t>
            </w:r>
            <w:r>
              <w:rPr>
                <w:rFonts w:hint="eastAsia" w:ascii="Times New Roman" w:hAnsi="Times New Roman" w:eastAsia="宋体" w:cs="Times New Roman"/>
                <w:bCs w:val="0"/>
                <w:color w:val="auto"/>
                <w:kern w:val="2"/>
                <w:sz w:val="24"/>
                <w:szCs w:val="21"/>
                <w:highlight w:val="none"/>
              </w:rPr>
              <w:t>企业地理位置及周边关系</w:t>
            </w:r>
          </w:p>
          <w:p>
            <w:pPr>
              <w:ind w:firstLine="480" w:firstLineChars="200"/>
              <w:rPr>
                <w:rFonts w:hint="default" w:ascii="Times New Roman" w:hAnsi="Times New Roman" w:cs="Times New Roman"/>
                <w:color w:val="auto"/>
                <w:highlight w:val="none"/>
              </w:rPr>
            </w:pPr>
            <w:r>
              <w:rPr>
                <w:rFonts w:hint="eastAsia" w:ascii="Times New Roman" w:hAnsi="Times New Roman" w:cs="Times New Roman"/>
                <w:color w:val="auto"/>
                <w:highlight w:val="none"/>
              </w:rPr>
              <w:t>本项目位</w:t>
            </w:r>
            <w:r>
              <w:rPr>
                <w:rFonts w:hint="eastAsia" w:ascii="Times New Roman" w:hAnsi="Times New Roman" w:cs="Times New Roman"/>
                <w:color w:val="auto"/>
                <w:highlight w:val="none"/>
                <w:lang w:eastAsia="zh-CN"/>
              </w:rPr>
              <w:t>于秦皇岛市经济技术开发区</w:t>
            </w:r>
            <w:r>
              <w:rPr>
                <w:rFonts w:hint="eastAsia" w:cs="Times New Roman"/>
                <w:color w:val="auto"/>
                <w:highlight w:val="none"/>
                <w:lang w:eastAsia="zh-CN"/>
              </w:rPr>
              <w:t>天山北路8号</w:t>
            </w:r>
            <w:r>
              <w:rPr>
                <w:rFonts w:hint="eastAsia" w:ascii="Times New Roman" w:hAnsi="Times New Roman" w:cs="Times New Roman"/>
                <w:color w:val="auto"/>
                <w:highlight w:val="none"/>
                <w:lang w:eastAsia="zh-CN"/>
              </w:rPr>
              <w:t>。</w:t>
            </w:r>
            <w:r>
              <w:rPr>
                <w:rFonts w:hint="eastAsia" w:ascii="Times New Roman" w:hAnsi="Times New Roman" w:cs="Times New Roman"/>
                <w:color w:val="auto"/>
                <w:highlight w:val="none"/>
              </w:rPr>
              <w:t>厂址地理位置中心坐标为：</w:t>
            </w:r>
            <w:r>
              <w:rPr>
                <w:rFonts w:hint="default" w:ascii="Times New Roman" w:hAnsi="Times New Roman" w:eastAsia="宋体" w:cs="Times New Roman"/>
                <w:color w:val="auto"/>
                <w:highlight w:val="none"/>
                <w:lang w:val="en-US" w:eastAsia="zh-CN"/>
              </w:rPr>
              <w:t>北纬39°55′48.56</w:t>
            </w:r>
            <w:r>
              <w:rPr>
                <w:rFonts w:hint="eastAsia" w:ascii="Times New Roman" w:hAnsi="Times New Roman" w:eastAsia="宋体" w:cs="Times New Roman"/>
                <w:color w:val="auto"/>
                <w:highlight w:val="none"/>
                <w:lang w:val="en-US" w:eastAsia="zh-CN"/>
              </w:rPr>
              <w:t>3</w:t>
            </w:r>
            <w:r>
              <w:rPr>
                <w:rFonts w:hint="default" w:ascii="Times New Roman" w:hAnsi="Times New Roman" w:eastAsia="宋体" w:cs="Times New Roman"/>
                <w:color w:val="auto"/>
                <w:highlight w:val="none"/>
                <w:lang w:val="en-US" w:eastAsia="zh-CN"/>
              </w:rPr>
              <w:t>″、东经119°30′21.54</w:t>
            </w:r>
            <w:r>
              <w:rPr>
                <w:rFonts w:hint="eastAsia" w:ascii="Times New Roman" w:hAnsi="Times New Roman" w:eastAsia="宋体" w:cs="Times New Roman"/>
                <w:color w:val="auto"/>
                <w:highlight w:val="none"/>
                <w:lang w:val="en-US" w:eastAsia="zh-CN"/>
              </w:rPr>
              <w:t>7</w:t>
            </w:r>
            <w:r>
              <w:rPr>
                <w:rFonts w:hint="default" w:ascii="Times New Roman" w:hAnsi="Times New Roman" w:eastAsia="宋体" w:cs="Times New Roman"/>
                <w:color w:val="auto"/>
                <w:highlight w:val="none"/>
                <w:lang w:val="en-US" w:eastAsia="zh-CN"/>
              </w:rPr>
              <w:t>″</w:t>
            </w:r>
            <w:r>
              <w:rPr>
                <w:rFonts w:hint="eastAsia" w:ascii="Times New Roman" w:hAnsi="Times New Roman" w:cs="Times New Roman"/>
                <w:color w:val="auto"/>
                <w:highlight w:val="none"/>
              </w:rPr>
              <w:t>。</w:t>
            </w:r>
            <w:r>
              <w:rPr>
                <w:rFonts w:hint="default" w:ascii="Times New Roman" w:hAnsi="Times New Roman" w:cs="Times New Roman"/>
                <w:color w:val="auto"/>
                <w:highlight w:val="none"/>
              </w:rPr>
              <w:t>项目北侧</w:t>
            </w:r>
            <w:r>
              <w:rPr>
                <w:rFonts w:hint="eastAsia" w:ascii="Times New Roman" w:hAnsi="Times New Roman" w:cs="Times New Roman"/>
                <w:color w:val="auto"/>
                <w:highlight w:val="none"/>
                <w:lang w:eastAsia="zh-CN"/>
              </w:rPr>
              <w:t>为</w:t>
            </w:r>
            <w:r>
              <w:rPr>
                <w:rFonts w:hint="eastAsia" w:ascii="Times New Roman" w:hAnsi="Times New Roman" w:cs="Times New Roman"/>
                <w:color w:val="auto"/>
                <w:highlight w:val="none"/>
              </w:rPr>
              <w:t>秦皇岛利达产业有限公司</w:t>
            </w:r>
            <w:r>
              <w:rPr>
                <w:rFonts w:hint="eastAsia" w:ascii="Times New Roman" w:hAnsi="Times New Roman" w:cs="Times New Roman"/>
                <w:color w:val="auto"/>
                <w:highlight w:val="none"/>
                <w:lang w:eastAsia="zh-CN"/>
              </w:rPr>
              <w:t>和</w:t>
            </w:r>
            <w:r>
              <w:rPr>
                <w:rFonts w:hint="default" w:ascii="Times New Roman" w:hAnsi="Times New Roman" w:cs="Times New Roman"/>
                <w:color w:val="auto"/>
                <w:highlight w:val="none"/>
              </w:rPr>
              <w:t>南侧为</w:t>
            </w:r>
            <w:r>
              <w:rPr>
                <w:rFonts w:hint="eastAsia" w:ascii="Times New Roman" w:hAnsi="Times New Roman" w:cs="Times New Roman"/>
                <w:color w:val="auto"/>
                <w:highlight w:val="none"/>
                <w:lang w:eastAsia="zh-CN"/>
              </w:rPr>
              <w:t>秦皇岛开发区干将自动化机械制造有限公司</w:t>
            </w:r>
            <w:r>
              <w:rPr>
                <w:rFonts w:hint="default" w:ascii="Times New Roman" w:hAnsi="Times New Roman" w:cs="Times New Roman"/>
                <w:color w:val="auto"/>
                <w:highlight w:val="none"/>
              </w:rPr>
              <w:t>、西侧为</w:t>
            </w:r>
            <w:r>
              <w:rPr>
                <w:rFonts w:hint="eastAsia" w:ascii="Times New Roman" w:hAnsi="Times New Roman" w:cs="Times New Roman"/>
                <w:color w:val="auto"/>
                <w:highlight w:val="none"/>
                <w:lang w:eastAsia="zh-CN"/>
              </w:rPr>
              <w:t>天山北路</w:t>
            </w:r>
            <w:r>
              <w:rPr>
                <w:rFonts w:hint="default" w:ascii="Times New Roman" w:hAnsi="Times New Roman" w:cs="Times New Roman"/>
                <w:color w:val="auto"/>
                <w:highlight w:val="none"/>
              </w:rPr>
              <w:t>、</w:t>
            </w:r>
            <w:r>
              <w:rPr>
                <w:rFonts w:hint="eastAsia" w:ascii="Times New Roman" w:hAnsi="Times New Roman" w:cs="Times New Roman"/>
                <w:color w:val="auto"/>
                <w:highlight w:val="none"/>
                <w:lang w:eastAsia="zh-CN"/>
              </w:rPr>
              <w:t>东侧</w:t>
            </w:r>
            <w:r>
              <w:rPr>
                <w:rFonts w:hint="eastAsia" w:ascii="Times New Roman" w:hAnsi="Times New Roman" w:cs="Times New Roman"/>
                <w:color w:val="auto"/>
                <w:highlight w:val="none"/>
                <w:lang w:val="en-US" w:eastAsia="zh-CN"/>
              </w:rPr>
              <w:t>为其他企业</w:t>
            </w:r>
            <w:r>
              <w:rPr>
                <w:rFonts w:hint="default" w:ascii="Times New Roman" w:hAnsi="Times New Roman" w:cs="Times New Roman"/>
                <w:color w:val="auto"/>
                <w:highlight w:val="none"/>
              </w:rPr>
              <w:t>。</w:t>
            </w:r>
          </w:p>
          <w:p>
            <w:pPr>
              <w:pStyle w:val="8"/>
              <w:spacing w:before="0" w:after="0" w:line="360" w:lineRule="auto"/>
              <w:ind w:firstLine="0" w:firstLineChars="0"/>
              <w:jc w:val="left"/>
              <w:rPr>
                <w:rFonts w:hint="eastAsia" w:ascii="Times New Roman" w:hAnsi="Times New Roman" w:eastAsia="宋体" w:cs="Times New Roman"/>
                <w:bCs w:val="0"/>
                <w:color w:val="auto"/>
                <w:kern w:val="2"/>
                <w:sz w:val="24"/>
                <w:szCs w:val="21"/>
                <w:highlight w:val="none"/>
              </w:rPr>
            </w:pPr>
            <w:r>
              <w:rPr>
                <w:rFonts w:hint="eastAsia" w:ascii="Times New Roman" w:hAnsi="Times New Roman" w:eastAsia="宋体" w:cs="Times New Roman"/>
                <w:bCs w:val="0"/>
                <w:color w:val="auto"/>
                <w:kern w:val="2"/>
                <w:sz w:val="24"/>
                <w:szCs w:val="21"/>
                <w:highlight w:val="none"/>
              </w:rPr>
              <w:t>2.2</w:t>
            </w:r>
            <w:r>
              <w:rPr>
                <w:rFonts w:hint="eastAsia" w:ascii="Times New Roman" w:hAnsi="Times New Roman" w:eastAsia="宋体" w:cs="Times New Roman"/>
                <w:bCs w:val="0"/>
                <w:color w:val="auto"/>
                <w:kern w:val="2"/>
                <w:sz w:val="24"/>
                <w:szCs w:val="21"/>
                <w:highlight w:val="none"/>
                <w:lang w:eastAsia="zh-CN"/>
              </w:rPr>
              <w:t>、</w:t>
            </w:r>
            <w:r>
              <w:rPr>
                <w:rFonts w:hint="eastAsia" w:ascii="Times New Roman" w:hAnsi="Times New Roman" w:eastAsia="宋体" w:cs="Times New Roman"/>
                <w:bCs w:val="0"/>
                <w:color w:val="auto"/>
                <w:kern w:val="2"/>
                <w:sz w:val="24"/>
                <w:szCs w:val="21"/>
                <w:highlight w:val="none"/>
              </w:rPr>
              <w:t>劳动定员及工作制度</w:t>
            </w:r>
          </w:p>
          <w:p>
            <w:pPr>
              <w:ind w:firstLine="480" w:firstLineChars="200"/>
              <w:rPr>
                <w:color w:val="auto"/>
                <w:highlight w:val="none"/>
              </w:rPr>
            </w:pPr>
            <w:r>
              <w:rPr>
                <w:rFonts w:hint="eastAsia"/>
                <w:color w:val="auto"/>
                <w:highlight w:val="none"/>
              </w:rPr>
              <w:t>劳动定员</w:t>
            </w:r>
            <w:r>
              <w:rPr>
                <w:rFonts w:hint="eastAsia"/>
                <w:color w:val="auto"/>
                <w:highlight w:val="none"/>
                <w:lang w:val="en-US" w:eastAsia="zh-CN"/>
              </w:rPr>
              <w:t>20</w:t>
            </w:r>
            <w:r>
              <w:rPr>
                <w:rFonts w:hint="eastAsia"/>
                <w:color w:val="auto"/>
                <w:highlight w:val="none"/>
              </w:rPr>
              <w:t>人，年</w:t>
            </w:r>
            <w:r>
              <w:rPr>
                <w:rFonts w:hint="eastAsia"/>
                <w:color w:val="auto"/>
                <w:highlight w:val="none"/>
                <w:lang w:val="en-US" w:eastAsia="zh-CN"/>
              </w:rPr>
              <w:t>工作250</w:t>
            </w:r>
            <w:r>
              <w:rPr>
                <w:rFonts w:hint="eastAsia"/>
                <w:color w:val="auto"/>
                <w:highlight w:val="none"/>
              </w:rPr>
              <w:t>天</w:t>
            </w:r>
            <w:r>
              <w:rPr>
                <w:rFonts w:hint="eastAsia"/>
                <w:color w:val="auto"/>
                <w:highlight w:val="none"/>
                <w:lang w:eastAsia="zh-CN"/>
              </w:rPr>
              <w:t>，</w:t>
            </w:r>
            <w:r>
              <w:rPr>
                <w:rFonts w:hint="eastAsia" w:ascii="Times New Roman" w:hAnsi="Times New Roman" w:cs="Times New Roman"/>
                <w:color w:val="auto"/>
                <w:highlight w:val="none"/>
                <w:lang w:val="en-US" w:eastAsia="zh-CN"/>
              </w:rPr>
              <w:t>一</w:t>
            </w:r>
            <w:r>
              <w:rPr>
                <w:rFonts w:hint="eastAsia" w:ascii="Times New Roman" w:hAnsi="Times New Roman" w:cs="Times New Roman"/>
                <w:color w:val="auto"/>
                <w:highlight w:val="none"/>
                <w:lang w:eastAsia="zh-CN"/>
              </w:rPr>
              <w:t>班制，</w:t>
            </w:r>
            <w:r>
              <w:rPr>
                <w:rFonts w:hint="eastAsia" w:ascii="Times New Roman" w:hAnsi="Times New Roman" w:cs="Times New Roman"/>
                <w:color w:val="auto"/>
                <w:highlight w:val="none"/>
                <w:lang w:val="en-US" w:eastAsia="zh-CN"/>
              </w:rPr>
              <w:t>06:00-22：00</w:t>
            </w:r>
            <w:r>
              <w:rPr>
                <w:rFonts w:hint="eastAsia" w:ascii="Times New Roman" w:hAnsi="Times New Roman" w:cs="Times New Roman"/>
                <w:color w:val="auto"/>
                <w:highlight w:val="none"/>
                <w:lang w:eastAsia="zh-CN"/>
              </w:rPr>
              <w:t>。</w:t>
            </w:r>
          </w:p>
          <w:p>
            <w:pPr>
              <w:pStyle w:val="8"/>
              <w:spacing w:before="0" w:after="0" w:line="360" w:lineRule="auto"/>
              <w:ind w:firstLine="0" w:firstLineChars="0"/>
              <w:jc w:val="left"/>
              <w:rPr>
                <w:rFonts w:hint="eastAsia" w:ascii="Times New Roman" w:hAnsi="Times New Roman" w:eastAsia="宋体" w:cs="Times New Roman"/>
                <w:bCs w:val="0"/>
                <w:color w:val="auto"/>
                <w:kern w:val="2"/>
                <w:sz w:val="24"/>
                <w:szCs w:val="21"/>
                <w:highlight w:val="none"/>
              </w:rPr>
            </w:pPr>
            <w:r>
              <w:rPr>
                <w:rFonts w:hint="eastAsia" w:ascii="Times New Roman" w:hAnsi="Times New Roman" w:eastAsia="宋体" w:cs="Times New Roman"/>
                <w:bCs w:val="0"/>
                <w:color w:val="auto"/>
                <w:kern w:val="2"/>
                <w:sz w:val="24"/>
                <w:szCs w:val="21"/>
                <w:highlight w:val="none"/>
              </w:rPr>
              <w:t>2.3</w:t>
            </w:r>
            <w:r>
              <w:rPr>
                <w:rFonts w:hint="eastAsia" w:ascii="Times New Roman" w:hAnsi="Times New Roman" w:eastAsia="宋体" w:cs="Times New Roman"/>
                <w:bCs w:val="0"/>
                <w:color w:val="auto"/>
                <w:kern w:val="2"/>
                <w:sz w:val="24"/>
                <w:szCs w:val="21"/>
                <w:highlight w:val="none"/>
                <w:lang w:eastAsia="zh-CN"/>
              </w:rPr>
              <w:t>、</w:t>
            </w:r>
            <w:r>
              <w:rPr>
                <w:rFonts w:hint="eastAsia" w:ascii="Times New Roman" w:hAnsi="Times New Roman" w:eastAsia="宋体" w:cs="Times New Roman"/>
                <w:bCs w:val="0"/>
                <w:color w:val="auto"/>
                <w:kern w:val="2"/>
                <w:sz w:val="24"/>
                <w:szCs w:val="21"/>
                <w:highlight w:val="none"/>
              </w:rPr>
              <w:t>现有工程规模及工程内容</w:t>
            </w:r>
          </w:p>
          <w:p>
            <w:pPr>
              <w:ind w:firstLine="480" w:firstLineChars="200"/>
              <w:rPr>
                <w:rFonts w:hint="eastAsia"/>
                <w:color w:val="auto"/>
                <w:highlight w:val="none"/>
              </w:rPr>
            </w:pPr>
            <w:r>
              <w:rPr>
                <w:rFonts w:hint="eastAsia"/>
                <w:color w:val="auto"/>
                <w:highlight w:val="none"/>
                <w:lang w:val="en-US" w:eastAsia="zh-CN"/>
              </w:rPr>
              <w:t>现有工程年生产</w:t>
            </w:r>
            <w:r>
              <w:rPr>
                <w:rFonts w:hint="eastAsia" w:ascii="Times New Roman" w:hAnsi="Times New Roman" w:eastAsia="宋体" w:cs="Times New Roman"/>
                <w:color w:val="auto"/>
                <w:highlight w:val="none"/>
                <w:lang w:val="en-US" w:eastAsia="zh-CN"/>
              </w:rPr>
              <w:t>800t耐火铸造材料、热砂芯2000</w:t>
            </w:r>
            <w:r>
              <w:rPr>
                <w:rFonts w:hint="eastAsia" w:cs="Times New Roman"/>
                <w:color w:val="auto"/>
                <w:highlight w:val="none"/>
                <w:lang w:val="en-US" w:eastAsia="zh-CN"/>
              </w:rPr>
              <w:t>t</w:t>
            </w:r>
            <w:r>
              <w:rPr>
                <w:rFonts w:hint="eastAsia"/>
                <w:color w:val="auto"/>
                <w:highlight w:val="none"/>
                <w:lang w:val="en-US" w:eastAsia="zh-CN"/>
              </w:rPr>
              <w:t>。</w:t>
            </w:r>
            <w:r>
              <w:rPr>
                <w:rFonts w:hint="eastAsia"/>
                <w:color w:val="auto"/>
                <w:highlight w:val="none"/>
              </w:rPr>
              <w:t>现有工程项目组成见下表。</w:t>
            </w:r>
          </w:p>
          <w:p>
            <w:pPr>
              <w:pStyle w:val="45"/>
              <w:ind w:left="482" w:hanging="482"/>
              <w:rPr>
                <w:color w:val="auto"/>
                <w:sz w:val="24"/>
                <w:szCs w:val="24"/>
                <w:highlight w:val="none"/>
              </w:rPr>
            </w:pPr>
            <w:r>
              <w:rPr>
                <w:color w:val="auto"/>
                <w:sz w:val="24"/>
                <w:szCs w:val="24"/>
                <w:highlight w:val="none"/>
              </w:rPr>
              <w:t>表</w:t>
            </w:r>
            <w:r>
              <w:rPr>
                <w:rFonts w:hint="eastAsia"/>
                <w:color w:val="auto"/>
                <w:sz w:val="24"/>
                <w:szCs w:val="24"/>
                <w:highlight w:val="none"/>
                <w:lang w:val="en-US" w:eastAsia="zh-CN"/>
              </w:rPr>
              <w:t>2-1</w:t>
            </w:r>
            <w:r>
              <w:rPr>
                <w:color w:val="auto"/>
                <w:sz w:val="24"/>
                <w:szCs w:val="24"/>
                <w:highlight w:val="none"/>
              </w:rPr>
              <w:t xml:space="preserve">  项目组成一览表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6"/>
              <w:gridCol w:w="623"/>
              <w:gridCol w:w="1845"/>
              <w:gridCol w:w="46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工程分类</w:t>
                  </w:r>
                </w:p>
              </w:tc>
              <w:tc>
                <w:tcPr>
                  <w:tcW w:w="2468"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项目名称</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项目内容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主体工程</w:t>
                  </w:r>
                </w:p>
              </w:tc>
              <w:tc>
                <w:tcPr>
                  <w:tcW w:w="2468"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生产车间</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建筑面积为2133.24㎡，</w:t>
                  </w:r>
                  <w:r>
                    <w:rPr>
                      <w:rFonts w:hint="eastAsia" w:ascii="Times New Roman" w:hAnsi="Times New Roman" w:cs="Times New Roman"/>
                      <w:color w:val="auto"/>
                      <w:highlight w:val="none"/>
                      <w:lang w:val="en-US" w:eastAsia="zh-CN"/>
                    </w:rPr>
                    <w:t>包括耐火材料生产车间和模具加工车间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辅助工程</w:t>
                  </w:r>
                </w:p>
              </w:tc>
              <w:tc>
                <w:tcPr>
                  <w:tcW w:w="2468"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办公室</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建筑面积为481.08㎡工作人员办公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2468"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备品库</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建筑面积为400㎡，</w:t>
                  </w:r>
                  <w:r>
                    <w:rPr>
                      <w:rFonts w:hint="eastAsia" w:ascii="Times New Roman" w:hAnsi="Times New Roman" w:cs="Times New Roman"/>
                      <w:color w:val="auto"/>
                      <w:highlight w:val="none"/>
                      <w:lang w:val="en-US" w:eastAsia="zh-CN"/>
                    </w:rPr>
                    <w:t>存储其他物品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2468"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库房</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建筑面积为100㎡在厂房内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公用工程</w:t>
                  </w:r>
                </w:p>
              </w:tc>
              <w:tc>
                <w:tcPr>
                  <w:tcW w:w="2468"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供水</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由</w:t>
                  </w:r>
                  <w:r>
                    <w:rPr>
                      <w:rFonts w:hint="eastAsia" w:ascii="Times New Roman" w:hAnsi="Times New Roman" w:eastAsia="宋体" w:cs="Times New Roman"/>
                      <w:color w:val="auto"/>
                      <w:highlight w:val="none"/>
                      <w:lang w:val="en-US" w:eastAsia="zh-CN"/>
                    </w:rPr>
                    <w:t>开发</w:t>
                  </w:r>
                  <w:r>
                    <w:rPr>
                      <w:rFonts w:hint="default" w:ascii="Times New Roman" w:hAnsi="Times New Roman" w:eastAsia="宋体" w:cs="Times New Roman"/>
                      <w:color w:val="auto"/>
                      <w:highlight w:val="none"/>
                      <w:lang w:val="en-US" w:eastAsia="zh-CN"/>
                    </w:rPr>
                    <w:t>区</w:t>
                  </w:r>
                  <w:r>
                    <w:rPr>
                      <w:rFonts w:hint="eastAsia" w:ascii="Times New Roman" w:hAnsi="Times New Roman" w:eastAsia="宋体" w:cs="Times New Roman"/>
                      <w:color w:val="auto"/>
                      <w:highlight w:val="none"/>
                      <w:lang w:val="en-US" w:eastAsia="zh-CN"/>
                    </w:rPr>
                    <w:t>供水公司</w:t>
                  </w:r>
                  <w:r>
                    <w:rPr>
                      <w:rFonts w:hint="default" w:ascii="Times New Roman" w:hAnsi="Times New Roman" w:eastAsia="宋体" w:cs="Times New Roman"/>
                      <w:color w:val="auto"/>
                      <w:highlight w:val="none"/>
                      <w:lang w:val="en-US" w:eastAsia="zh-CN"/>
                    </w:rPr>
                    <w:t>提供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2468"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排水</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项目生产用水不外排，生活污水由化粪池处理后经市政管网排入秦皇岛第三污水处理厂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2468"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供电</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由</w:t>
                  </w:r>
                  <w:r>
                    <w:rPr>
                      <w:rFonts w:hint="eastAsia" w:ascii="Times New Roman" w:hAnsi="Times New Roman" w:eastAsia="宋体" w:cs="Times New Roman"/>
                      <w:color w:val="auto"/>
                      <w:highlight w:val="none"/>
                      <w:lang w:val="en-US" w:eastAsia="zh-CN"/>
                    </w:rPr>
                    <w:t>开发</w:t>
                  </w:r>
                  <w:r>
                    <w:rPr>
                      <w:rFonts w:hint="default" w:ascii="Times New Roman" w:hAnsi="Times New Roman" w:eastAsia="宋体" w:cs="Times New Roman"/>
                      <w:color w:val="auto"/>
                      <w:highlight w:val="none"/>
                      <w:lang w:val="en-US" w:eastAsia="zh-CN"/>
                    </w:rPr>
                    <w:t>区电力公司供电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2468"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供热</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本项目模具成型加热使用电加热棒加热，冬季办公室采取空调供暖。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环保工程</w:t>
                  </w:r>
                </w:p>
              </w:tc>
              <w:tc>
                <w:tcPr>
                  <w:tcW w:w="623"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废气</w:t>
                  </w:r>
                </w:p>
              </w:tc>
              <w:tc>
                <w:tcPr>
                  <w:tcW w:w="1845"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打磨颗粒物</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1台布袋除尘器+15m排气筒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23"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845"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脱模废气</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两级</w:t>
                  </w:r>
                  <w:r>
                    <w:rPr>
                      <w:rFonts w:hint="eastAsia" w:ascii="Times New Roman" w:hAnsi="Times New Roman" w:eastAsia="宋体" w:cs="Times New Roman"/>
                      <w:color w:val="auto"/>
                      <w:highlight w:val="none"/>
                      <w:lang w:val="en-US" w:eastAsia="zh-CN"/>
                    </w:rPr>
                    <w:t>活性炭+15米排气筒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23"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噪声</w:t>
                  </w:r>
                </w:p>
              </w:tc>
              <w:tc>
                <w:tcPr>
                  <w:tcW w:w="1845"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设备噪声</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工程选取低噪声设备，厂房隔声措施厂房东侧增加一层隔声材料，生产期间车间大门关闭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23"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一般固废</w:t>
                  </w:r>
                </w:p>
              </w:tc>
              <w:tc>
                <w:tcPr>
                  <w:tcW w:w="1845"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金属屑</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统一收集、全部外售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23"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845"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废包装袋、废植物油瓶</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统一收集、全部外售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23"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845"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生活垃圾</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统一收集后交由环卫部门统一处理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23"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危险废物</w:t>
                  </w:r>
                </w:p>
              </w:tc>
              <w:tc>
                <w:tcPr>
                  <w:tcW w:w="1845"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废涂料桶、废活性炭、</w:t>
                  </w:r>
                </w:p>
              </w:tc>
              <w:tc>
                <w:tcPr>
                  <w:tcW w:w="463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存于危废间内，</w:t>
                  </w:r>
                  <w:r>
                    <w:rPr>
                      <w:rFonts w:hint="eastAsia" w:ascii="Times New Roman" w:hAnsi="Times New Roman" w:eastAsia="宋体" w:cs="Times New Roman"/>
                      <w:color w:val="auto"/>
                      <w:highlight w:val="none"/>
                      <w:lang w:val="en-US" w:eastAsia="zh-CN"/>
                    </w:rPr>
                    <w:t>交由有资质单位处理</w:t>
                  </w:r>
                </w:p>
              </w:tc>
            </w:tr>
          </w:tbl>
          <w:p>
            <w:pPr>
              <w:pStyle w:val="8"/>
              <w:spacing w:before="0" w:after="0" w:line="360" w:lineRule="auto"/>
              <w:ind w:firstLine="0" w:firstLineChars="0"/>
              <w:jc w:val="left"/>
              <w:rPr>
                <w:rFonts w:hint="eastAsia" w:ascii="Times New Roman" w:hAnsi="Times New Roman" w:eastAsia="宋体" w:cs="Times New Roman"/>
                <w:bCs w:val="0"/>
                <w:color w:val="auto"/>
                <w:kern w:val="2"/>
                <w:sz w:val="24"/>
                <w:szCs w:val="21"/>
                <w:highlight w:val="none"/>
              </w:rPr>
            </w:pPr>
            <w:r>
              <w:rPr>
                <w:rFonts w:hint="eastAsia" w:ascii="Times New Roman" w:hAnsi="Times New Roman" w:eastAsia="宋体" w:cs="Times New Roman"/>
                <w:bCs w:val="0"/>
                <w:color w:val="auto"/>
                <w:kern w:val="2"/>
                <w:sz w:val="24"/>
                <w:szCs w:val="21"/>
                <w:highlight w:val="none"/>
              </w:rPr>
              <w:t>2.4</w:t>
            </w:r>
            <w:r>
              <w:rPr>
                <w:rFonts w:hint="eastAsia" w:ascii="Times New Roman" w:hAnsi="Times New Roman" w:eastAsia="宋体" w:cs="Times New Roman"/>
                <w:bCs w:val="0"/>
                <w:color w:val="auto"/>
                <w:kern w:val="2"/>
                <w:sz w:val="24"/>
                <w:szCs w:val="21"/>
                <w:highlight w:val="none"/>
                <w:lang w:eastAsia="zh-CN"/>
              </w:rPr>
              <w:t>、</w:t>
            </w:r>
            <w:r>
              <w:rPr>
                <w:rFonts w:hint="eastAsia" w:ascii="Times New Roman" w:hAnsi="Times New Roman" w:eastAsia="宋体" w:cs="Times New Roman"/>
                <w:bCs w:val="0"/>
                <w:color w:val="auto"/>
                <w:kern w:val="2"/>
                <w:sz w:val="24"/>
                <w:szCs w:val="21"/>
                <w:highlight w:val="none"/>
              </w:rPr>
              <w:t>现有工程生产设备</w:t>
            </w:r>
          </w:p>
          <w:p>
            <w:pPr>
              <w:pStyle w:val="45"/>
              <w:ind w:left="482" w:hanging="482"/>
              <w:rPr>
                <w:rFonts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rPr>
              <w:t>表</w:t>
            </w:r>
            <w:r>
              <w:rPr>
                <w:rFonts w:hint="eastAsia" w:ascii="Times New Roman" w:hAnsi="Times New Roman" w:eastAsia="宋体" w:cs="Times New Roman"/>
                <w:color w:val="auto"/>
                <w:sz w:val="24"/>
                <w:szCs w:val="24"/>
                <w:highlight w:val="none"/>
                <w:lang w:val="en-US" w:eastAsia="zh-CN"/>
              </w:rPr>
              <w:t>2-2</w:t>
            </w:r>
            <w:r>
              <w:rPr>
                <w:rFonts w:hint="eastAsia" w:ascii="Times New Roman" w:hAnsi="Times New Roman" w:eastAsia="宋体" w:cs="Times New Roman"/>
                <w:color w:val="auto"/>
                <w:sz w:val="24"/>
                <w:szCs w:val="24"/>
                <w:highlight w:val="none"/>
              </w:rPr>
              <w:t xml:space="preserve">  现有工程生产设备</w:t>
            </w:r>
            <w:r>
              <w:rPr>
                <w:rFonts w:hint="eastAsia" w:ascii="Times New Roman" w:hAnsi="Times New Roman" w:eastAsia="宋体" w:cs="Times New Roman"/>
                <w:color w:val="auto"/>
                <w:sz w:val="24"/>
                <w:szCs w:val="24"/>
                <w:highlight w:val="none"/>
                <w:lang w:eastAsia="zh-CN"/>
              </w:rPr>
              <w:t>、</w:t>
            </w:r>
            <w:r>
              <w:rPr>
                <w:rFonts w:hint="eastAsia" w:ascii="Times New Roman" w:hAnsi="Times New Roman" w:eastAsia="宋体" w:cs="Times New Roman"/>
                <w:color w:val="auto"/>
                <w:sz w:val="24"/>
                <w:szCs w:val="24"/>
                <w:highlight w:val="none"/>
                <w:lang w:val="en-US" w:eastAsia="zh-CN"/>
              </w:rPr>
              <w:t>设施</w:t>
            </w:r>
            <w:r>
              <w:rPr>
                <w:rFonts w:hint="eastAsia" w:ascii="Times New Roman" w:hAnsi="Times New Roman" w:eastAsia="宋体" w:cs="Times New Roman"/>
                <w:color w:val="auto"/>
                <w:sz w:val="24"/>
                <w:szCs w:val="24"/>
                <w:highlight w:val="none"/>
              </w:rPr>
              <w:t>一览表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7"/>
              <w:gridCol w:w="2094"/>
              <w:gridCol w:w="4223"/>
              <w:gridCol w:w="13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序号</w:t>
                  </w:r>
                </w:p>
              </w:tc>
              <w:tc>
                <w:tcPr>
                  <w:tcW w:w="2141"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设备名称</w:t>
                  </w:r>
                </w:p>
              </w:tc>
              <w:tc>
                <w:tcPr>
                  <w:tcW w:w="4323"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型号</w:t>
                  </w:r>
                </w:p>
              </w:tc>
              <w:tc>
                <w:tcPr>
                  <w:tcW w:w="1393"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数量（台/套）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w:t>
                  </w:r>
                </w:p>
              </w:tc>
              <w:tc>
                <w:tcPr>
                  <w:tcW w:w="2141"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砂轮机</w:t>
                  </w:r>
                </w:p>
              </w:tc>
              <w:tc>
                <w:tcPr>
                  <w:tcW w:w="432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w:t>
                  </w:r>
                </w:p>
              </w:tc>
              <w:tc>
                <w:tcPr>
                  <w:tcW w:w="139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w:t>
                  </w:r>
                </w:p>
              </w:tc>
              <w:tc>
                <w:tcPr>
                  <w:tcW w:w="2141"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搅拌机</w:t>
                  </w:r>
                </w:p>
              </w:tc>
              <w:tc>
                <w:tcPr>
                  <w:tcW w:w="432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w:t>
                  </w:r>
                </w:p>
              </w:tc>
              <w:tc>
                <w:tcPr>
                  <w:tcW w:w="139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3</w:t>
                  </w:r>
                </w:p>
              </w:tc>
              <w:tc>
                <w:tcPr>
                  <w:tcW w:w="2141"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起重机</w:t>
                  </w:r>
                </w:p>
              </w:tc>
              <w:tc>
                <w:tcPr>
                  <w:tcW w:w="432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2.8吨</w:t>
                  </w:r>
                </w:p>
              </w:tc>
              <w:tc>
                <w:tcPr>
                  <w:tcW w:w="139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w:t>
                  </w:r>
                </w:p>
              </w:tc>
              <w:tc>
                <w:tcPr>
                  <w:tcW w:w="2141"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制芯机</w:t>
                  </w:r>
                </w:p>
              </w:tc>
              <w:tc>
                <w:tcPr>
                  <w:tcW w:w="432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水平</w:t>
                  </w:r>
                </w:p>
              </w:tc>
              <w:tc>
                <w:tcPr>
                  <w:tcW w:w="139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w:t>
                  </w:r>
                </w:p>
              </w:tc>
              <w:tc>
                <w:tcPr>
                  <w:tcW w:w="2141"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制芯机</w:t>
                  </w:r>
                </w:p>
              </w:tc>
              <w:tc>
                <w:tcPr>
                  <w:tcW w:w="432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垂直</w:t>
                  </w:r>
                </w:p>
              </w:tc>
              <w:tc>
                <w:tcPr>
                  <w:tcW w:w="139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6</w:t>
                  </w:r>
                </w:p>
              </w:tc>
              <w:tc>
                <w:tcPr>
                  <w:tcW w:w="2141"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V</w:t>
                  </w:r>
                  <w:r>
                    <w:rPr>
                      <w:rFonts w:hint="eastAsia" w:ascii="Times New Roman" w:hAnsi="Times New Roman" w:cs="Times New Roman"/>
                      <w:color w:val="auto"/>
                      <w:highlight w:val="none"/>
                      <w:lang w:val="en-US" w:eastAsia="zh-CN"/>
                    </w:rPr>
                    <w:t>OC</w:t>
                  </w:r>
                  <w:r>
                    <w:rPr>
                      <w:rFonts w:hint="eastAsia" w:ascii="Times New Roman" w:hAnsi="Times New Roman" w:eastAsia="宋体" w:cs="Times New Roman"/>
                      <w:color w:val="auto"/>
                      <w:highlight w:val="none"/>
                      <w:lang w:val="en-US" w:eastAsia="zh-CN"/>
                    </w:rPr>
                    <w:t>废气治理设备</w:t>
                  </w:r>
                </w:p>
              </w:tc>
              <w:tc>
                <w:tcPr>
                  <w:tcW w:w="432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处理风量（m³/h）：20000</w:t>
                  </w:r>
                  <w:r>
                    <w:rPr>
                      <w:rFonts w:hint="eastAsia" w:ascii="Times New Roman" w:hAnsi="Times New Roman" w:cs="Times New Roman"/>
                      <w:color w:val="auto"/>
                      <w:highlight w:val="none"/>
                      <w:lang w:val="en-US" w:eastAsia="zh-CN"/>
                    </w:rPr>
                    <w:t>，两级活性炭</w:t>
                  </w:r>
                </w:p>
              </w:tc>
              <w:tc>
                <w:tcPr>
                  <w:tcW w:w="139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7</w:t>
                  </w:r>
                </w:p>
              </w:tc>
              <w:tc>
                <w:tcPr>
                  <w:tcW w:w="2141"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布袋除尘器</w:t>
                  </w:r>
                </w:p>
              </w:tc>
              <w:tc>
                <w:tcPr>
                  <w:tcW w:w="4323"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处理风量（m³/h）：4000</w:t>
                  </w:r>
                </w:p>
              </w:tc>
              <w:tc>
                <w:tcPr>
                  <w:tcW w:w="139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8</w:t>
                  </w:r>
                </w:p>
              </w:tc>
              <w:tc>
                <w:tcPr>
                  <w:tcW w:w="2141"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电加热棒</w:t>
                  </w:r>
                </w:p>
              </w:tc>
              <w:tc>
                <w:tcPr>
                  <w:tcW w:w="4323"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w:t>
                  </w:r>
                </w:p>
              </w:tc>
              <w:tc>
                <w:tcPr>
                  <w:tcW w:w="139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9</w:t>
                  </w:r>
                </w:p>
              </w:tc>
              <w:tc>
                <w:tcPr>
                  <w:tcW w:w="2141"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脱模机</w:t>
                  </w:r>
                </w:p>
              </w:tc>
              <w:tc>
                <w:tcPr>
                  <w:tcW w:w="4323"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w:t>
                  </w:r>
                </w:p>
              </w:tc>
              <w:tc>
                <w:tcPr>
                  <w:tcW w:w="139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w:t>
                  </w:r>
                </w:p>
              </w:tc>
              <w:tc>
                <w:tcPr>
                  <w:tcW w:w="2141"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涂装房</w:t>
                  </w:r>
                </w:p>
              </w:tc>
              <w:tc>
                <w:tcPr>
                  <w:tcW w:w="4323"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w:t>
                  </w:r>
                </w:p>
              </w:tc>
              <w:tc>
                <w:tcPr>
                  <w:tcW w:w="139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11</w:t>
                  </w:r>
                </w:p>
              </w:tc>
              <w:tc>
                <w:tcPr>
                  <w:tcW w:w="2141"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数控车床</w:t>
                  </w:r>
                </w:p>
              </w:tc>
              <w:tc>
                <w:tcPr>
                  <w:tcW w:w="4323"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6150</w:t>
                  </w:r>
                </w:p>
              </w:tc>
              <w:tc>
                <w:tcPr>
                  <w:tcW w:w="139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12</w:t>
                  </w:r>
                </w:p>
              </w:tc>
              <w:tc>
                <w:tcPr>
                  <w:tcW w:w="2141"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加工中心</w:t>
                  </w:r>
                </w:p>
              </w:tc>
              <w:tc>
                <w:tcPr>
                  <w:tcW w:w="4323"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1570</w:t>
                  </w:r>
                </w:p>
              </w:tc>
              <w:tc>
                <w:tcPr>
                  <w:tcW w:w="139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13</w:t>
                  </w:r>
                </w:p>
              </w:tc>
              <w:tc>
                <w:tcPr>
                  <w:tcW w:w="2141"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冲床</w:t>
                  </w:r>
                </w:p>
              </w:tc>
              <w:tc>
                <w:tcPr>
                  <w:tcW w:w="4323" w:type="dxa"/>
                  <w:noWrap w:val="0"/>
                  <w:vAlign w:val="bottom"/>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63T-1</w:t>
                  </w:r>
                </w:p>
              </w:tc>
              <w:tc>
                <w:tcPr>
                  <w:tcW w:w="1393" w:type="dxa"/>
                  <w:noWrap w:val="0"/>
                  <w:vAlign w:val="top"/>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3</w:t>
                  </w:r>
                </w:p>
              </w:tc>
            </w:tr>
          </w:tbl>
          <w:p>
            <w:pPr>
              <w:pStyle w:val="8"/>
              <w:spacing w:before="0" w:after="0" w:line="360" w:lineRule="auto"/>
              <w:ind w:firstLine="0" w:firstLineChars="0"/>
              <w:jc w:val="left"/>
              <w:rPr>
                <w:rFonts w:hint="eastAsia" w:cs="Times New Roman"/>
                <w:bCs w:val="0"/>
                <w:color w:val="auto"/>
                <w:kern w:val="2"/>
                <w:sz w:val="24"/>
                <w:szCs w:val="21"/>
                <w:highlight w:val="none"/>
                <w:lang w:val="en-US" w:eastAsia="zh-CN"/>
              </w:rPr>
            </w:pPr>
            <w:r>
              <w:rPr>
                <w:rFonts w:hint="eastAsia" w:cs="Times New Roman"/>
                <w:bCs w:val="0"/>
                <w:color w:val="auto"/>
                <w:kern w:val="2"/>
                <w:sz w:val="24"/>
                <w:szCs w:val="21"/>
                <w:highlight w:val="none"/>
                <w:lang w:val="en-US" w:eastAsia="zh-CN"/>
              </w:rPr>
              <w:t>2.5、现有工程原辅料及能源消耗情况</w:t>
            </w:r>
          </w:p>
          <w:p>
            <w:pPr>
              <w:pStyle w:val="45"/>
              <w:ind w:left="482" w:hanging="482"/>
              <w:rPr>
                <w:rFonts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rPr>
              <w:t>表</w:t>
            </w:r>
            <w:r>
              <w:rPr>
                <w:rFonts w:hint="eastAsia" w:ascii="Times New Roman" w:hAnsi="Times New Roman" w:eastAsia="宋体" w:cs="Times New Roman"/>
                <w:color w:val="auto"/>
                <w:sz w:val="24"/>
                <w:szCs w:val="24"/>
                <w:highlight w:val="none"/>
                <w:lang w:val="en-US" w:eastAsia="zh-CN"/>
              </w:rPr>
              <w:t>2-</w:t>
            </w:r>
            <w:r>
              <w:rPr>
                <w:rFonts w:hint="eastAsia" w:ascii="Times New Roman" w:hAnsi="Times New Roman" w:cs="Times New Roman"/>
                <w:color w:val="auto"/>
                <w:sz w:val="24"/>
                <w:szCs w:val="24"/>
                <w:highlight w:val="none"/>
                <w:lang w:val="en-US" w:eastAsia="zh-CN"/>
              </w:rPr>
              <w:t>3</w:t>
            </w:r>
            <w:r>
              <w:rPr>
                <w:rFonts w:hint="eastAsia" w:ascii="Times New Roman" w:hAnsi="Times New Roman" w:eastAsia="宋体" w:cs="Times New Roman"/>
                <w:color w:val="auto"/>
                <w:sz w:val="24"/>
                <w:szCs w:val="24"/>
                <w:highlight w:val="none"/>
              </w:rPr>
              <w:t xml:space="preserve">  </w:t>
            </w:r>
            <w:r>
              <w:rPr>
                <w:rFonts w:hint="eastAsia" w:cs="Times New Roman"/>
                <w:bCs w:val="0"/>
                <w:color w:val="auto"/>
                <w:kern w:val="2"/>
                <w:sz w:val="24"/>
                <w:szCs w:val="21"/>
                <w:highlight w:val="none"/>
                <w:lang w:val="en-US" w:eastAsia="zh-CN"/>
              </w:rPr>
              <w:t>现有工程原辅料及能源消耗情况</w:t>
            </w:r>
            <w:r>
              <w:rPr>
                <w:rFonts w:hint="eastAsia" w:ascii="Times New Roman" w:hAnsi="Times New Roman" w:eastAsia="宋体" w:cs="Times New Roman"/>
                <w:color w:val="auto"/>
                <w:sz w:val="24"/>
                <w:szCs w:val="24"/>
                <w:highlight w:val="none"/>
              </w:rPr>
              <w:t>一览表</w:t>
            </w:r>
          </w:p>
          <w:tbl>
            <w:tblPr>
              <w:tblStyle w:val="31"/>
              <w:tblW w:w="5000" w:type="pct"/>
              <w:jc w:val="center"/>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Layout w:type="fixed"/>
              <w:tblCellMar>
                <w:top w:w="15" w:type="dxa"/>
                <w:left w:w="15" w:type="dxa"/>
                <w:bottom w:w="15" w:type="dxa"/>
                <w:right w:w="15" w:type="dxa"/>
              </w:tblCellMar>
            </w:tblPr>
            <w:tblGrid>
              <w:gridCol w:w="588"/>
              <w:gridCol w:w="664"/>
              <w:gridCol w:w="1295"/>
              <w:gridCol w:w="2140"/>
              <w:gridCol w:w="3631"/>
            </w:tblGrid>
            <w:tr>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8"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项目</w:t>
                  </w:r>
                </w:p>
              </w:tc>
              <w:tc>
                <w:tcPr>
                  <w:tcW w:w="664"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序号</w:t>
                  </w:r>
                </w:p>
              </w:tc>
              <w:tc>
                <w:tcPr>
                  <w:tcW w:w="1295"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名称</w:t>
                  </w:r>
                </w:p>
              </w:tc>
              <w:tc>
                <w:tcPr>
                  <w:tcW w:w="2140"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年用量/单位</w:t>
                  </w:r>
                </w:p>
              </w:tc>
              <w:tc>
                <w:tcPr>
                  <w:tcW w:w="3631"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储运方式</w:t>
                  </w:r>
                </w:p>
              </w:tc>
            </w:tr>
            <w:tr>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8" w:type="dxa"/>
                  <w:vMerge w:val="restart"/>
                  <w:tcBorders>
                    <w:top w:val="single" w:color="000000" w:sz="4" w:space="0"/>
                    <w:left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原、辅材料</w:t>
                  </w:r>
                </w:p>
              </w:tc>
              <w:tc>
                <w:tcPr>
                  <w:tcW w:w="664"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w:t>
                  </w:r>
                </w:p>
              </w:tc>
              <w:tc>
                <w:tcPr>
                  <w:tcW w:w="1295"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覆膜石英砂</w:t>
                  </w:r>
                </w:p>
              </w:tc>
              <w:tc>
                <w:tcPr>
                  <w:tcW w:w="2140"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2000吨</w:t>
                  </w:r>
                </w:p>
              </w:tc>
              <w:tc>
                <w:tcPr>
                  <w:tcW w:w="3631"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汽车运输贮存于物品存放区</w:t>
                  </w:r>
                  <w:r>
                    <w:rPr>
                      <w:rFonts w:hint="eastAsia" w:ascii="Times New Roman" w:hAnsi="Times New Roman" w:cs="Times New Roman"/>
                      <w:color w:val="auto"/>
                      <w:highlight w:val="none"/>
                      <w:lang w:val="en-US" w:eastAsia="zh-CN"/>
                    </w:rPr>
                    <w:t>，购置为成品，不需添加粘结剂</w:t>
                  </w:r>
                </w:p>
              </w:tc>
            </w:tr>
            <w:tr>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8" w:type="dxa"/>
                  <w:vMerge w:val="continue"/>
                  <w:tcBorders>
                    <w:left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64"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w:t>
                  </w:r>
                </w:p>
              </w:tc>
              <w:tc>
                <w:tcPr>
                  <w:tcW w:w="1295"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石英砂</w:t>
                  </w:r>
                </w:p>
              </w:tc>
              <w:tc>
                <w:tcPr>
                  <w:tcW w:w="2140"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600吨</w:t>
                  </w:r>
                </w:p>
              </w:tc>
              <w:tc>
                <w:tcPr>
                  <w:tcW w:w="3631"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汽车运输贮存于物品存放区</w:t>
                  </w:r>
                  <w:r>
                    <w:rPr>
                      <w:rFonts w:hint="eastAsia" w:ascii="Times New Roman" w:hAnsi="Times New Roman" w:cs="Times New Roman"/>
                      <w:color w:val="auto"/>
                      <w:highlight w:val="none"/>
                      <w:lang w:val="en-US" w:eastAsia="zh-CN"/>
                    </w:rPr>
                    <w:t>，购置为成品，不需添加粘结剂</w:t>
                  </w:r>
                </w:p>
              </w:tc>
            </w:tr>
            <w:tr>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8" w:type="dxa"/>
                  <w:vMerge w:val="continue"/>
                  <w:tcBorders>
                    <w:left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64"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3</w:t>
                  </w:r>
                </w:p>
              </w:tc>
              <w:tc>
                <w:tcPr>
                  <w:tcW w:w="1295"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醇基涂料</w:t>
                  </w:r>
                </w:p>
              </w:tc>
              <w:tc>
                <w:tcPr>
                  <w:tcW w:w="2140"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0.45吨</w:t>
                  </w:r>
                </w:p>
              </w:tc>
              <w:tc>
                <w:tcPr>
                  <w:tcW w:w="3631"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汽车运输、现场储存量很小，根据生产计划，供货商定期配送</w:t>
                  </w:r>
                </w:p>
              </w:tc>
            </w:tr>
            <w:tr>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8" w:type="dxa"/>
                  <w:vMerge w:val="continue"/>
                  <w:tcBorders>
                    <w:left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64"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w:t>
                  </w:r>
                </w:p>
              </w:tc>
              <w:tc>
                <w:tcPr>
                  <w:tcW w:w="1295"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植物油</w:t>
                  </w:r>
                </w:p>
              </w:tc>
              <w:tc>
                <w:tcPr>
                  <w:tcW w:w="2140"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0.05吨</w:t>
                  </w:r>
                </w:p>
              </w:tc>
              <w:tc>
                <w:tcPr>
                  <w:tcW w:w="3631"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汽车运输、现场储存量很小，根据生产计划，供货商定期配送</w:t>
                  </w:r>
                </w:p>
              </w:tc>
            </w:tr>
            <w:tr>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8" w:type="dxa"/>
                  <w:vMerge w:val="continue"/>
                  <w:tcBorders>
                    <w:left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64"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w:t>
                  </w:r>
                </w:p>
              </w:tc>
              <w:tc>
                <w:tcPr>
                  <w:tcW w:w="1295"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耐火土</w:t>
                  </w:r>
                </w:p>
              </w:tc>
              <w:tc>
                <w:tcPr>
                  <w:tcW w:w="2140"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400吨</w:t>
                  </w:r>
                </w:p>
              </w:tc>
              <w:tc>
                <w:tcPr>
                  <w:tcW w:w="3631"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外购  80斤/袋贮存于物品存放区</w:t>
                  </w:r>
                </w:p>
              </w:tc>
            </w:tr>
            <w:tr>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8" w:type="dxa"/>
                  <w:vMerge w:val="continue"/>
                  <w:tcBorders>
                    <w:left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64"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6</w:t>
                  </w:r>
                </w:p>
              </w:tc>
              <w:tc>
                <w:tcPr>
                  <w:tcW w:w="1295"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石英高铝骨料</w:t>
                  </w:r>
                </w:p>
              </w:tc>
              <w:tc>
                <w:tcPr>
                  <w:tcW w:w="2140"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800吨</w:t>
                  </w:r>
                </w:p>
              </w:tc>
              <w:tc>
                <w:tcPr>
                  <w:tcW w:w="3631"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外购  80斤/袋贮存于物品存放区</w:t>
                  </w:r>
                </w:p>
              </w:tc>
            </w:tr>
            <w:tr>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8" w:type="dxa"/>
                  <w:vMerge w:val="continue"/>
                  <w:tcBorders>
                    <w:left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64"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7</w:t>
                  </w:r>
                </w:p>
              </w:tc>
              <w:tc>
                <w:tcPr>
                  <w:tcW w:w="1295"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模具</w:t>
                  </w:r>
                </w:p>
              </w:tc>
              <w:tc>
                <w:tcPr>
                  <w:tcW w:w="2140"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800吨</w:t>
                  </w:r>
                </w:p>
              </w:tc>
              <w:tc>
                <w:tcPr>
                  <w:tcW w:w="3631"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w:t>
                  </w:r>
                </w:p>
              </w:tc>
            </w:tr>
            <w:tr>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8" w:type="dxa"/>
                  <w:vMerge w:val="continue"/>
                  <w:tcBorders>
                    <w:left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64"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8</w:t>
                  </w:r>
                </w:p>
              </w:tc>
              <w:tc>
                <w:tcPr>
                  <w:tcW w:w="1295"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铸造材料</w:t>
                  </w:r>
                </w:p>
              </w:tc>
              <w:tc>
                <w:tcPr>
                  <w:tcW w:w="2140"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200吨</w:t>
                  </w:r>
                </w:p>
              </w:tc>
              <w:tc>
                <w:tcPr>
                  <w:tcW w:w="3631"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主要成分为硅锰铁</w:t>
                  </w:r>
                </w:p>
              </w:tc>
            </w:tr>
            <w:tr>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8" w:type="dxa"/>
                  <w:vMerge w:val="restart"/>
                  <w:tcBorders>
                    <w:top w:val="single" w:color="000000" w:sz="4" w:space="0"/>
                    <w:left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能源</w:t>
                  </w:r>
                </w:p>
              </w:tc>
              <w:tc>
                <w:tcPr>
                  <w:tcW w:w="664"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w:t>
                  </w:r>
                </w:p>
              </w:tc>
              <w:tc>
                <w:tcPr>
                  <w:tcW w:w="1295"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电</w:t>
                  </w:r>
                </w:p>
              </w:tc>
              <w:tc>
                <w:tcPr>
                  <w:tcW w:w="2140"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40.5万kw·h</w:t>
                  </w:r>
                </w:p>
              </w:tc>
              <w:tc>
                <w:tcPr>
                  <w:tcW w:w="3631"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开发区电力公司</w:t>
                  </w:r>
                </w:p>
              </w:tc>
            </w:tr>
            <w:tr>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8" w:type="dxa"/>
                  <w:vMerge w:val="continue"/>
                  <w:tcBorders>
                    <w:left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664"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w:t>
                  </w:r>
                </w:p>
              </w:tc>
              <w:tc>
                <w:tcPr>
                  <w:tcW w:w="1295"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水</w:t>
                  </w:r>
                </w:p>
              </w:tc>
              <w:tc>
                <w:tcPr>
                  <w:tcW w:w="2140"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1530t/a</w:t>
                  </w:r>
                </w:p>
              </w:tc>
              <w:tc>
                <w:tcPr>
                  <w:tcW w:w="3631" w:type="dxa"/>
                  <w:tcBorders>
                    <w:top w:val="single" w:color="000000" w:sz="4" w:space="0"/>
                    <w:left w:val="single" w:color="000000" w:sz="4" w:space="0"/>
                    <w:bottom w:val="single" w:color="000000" w:sz="4" w:space="0"/>
                    <w:right w:val="single" w:color="000000" w:sz="4" w:space="0"/>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开发区供水公司</w:t>
                  </w:r>
                </w:p>
              </w:tc>
            </w:tr>
          </w:tbl>
          <w:p>
            <w:pPr>
              <w:ind w:firstLine="480" w:firstLineChars="20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醇基涂料理化性质：</w:t>
            </w:r>
            <w:r>
              <w:rPr>
                <w:rFonts w:hint="eastAsia" w:ascii="Times New Roman" w:hAnsi="Times New Roman" w:eastAsia="宋体" w:cs="Times New Roman"/>
                <w:color w:val="auto"/>
                <w:highlight w:val="none"/>
                <w:lang w:eastAsia="zh-CN"/>
              </w:rPr>
              <w:t>组分：</w:t>
            </w:r>
            <w:r>
              <w:rPr>
                <w:rFonts w:hint="eastAsia" w:ascii="Times New Roman" w:hAnsi="Times New Roman" w:eastAsia="宋体" w:cs="Times New Roman"/>
                <w:color w:val="auto"/>
                <w:highlight w:val="none"/>
                <w:lang w:val="en-US" w:eastAsia="zh-CN"/>
              </w:rPr>
              <w:t>乙醇、复合耐火矿土、粘土类矿物、天然树脂、流变助剂</w:t>
            </w:r>
            <w:r>
              <w:rPr>
                <w:rFonts w:hint="eastAsia" w:ascii="Times New Roman" w:hAnsi="Times New Roman" w:eastAsia="宋体" w:cs="Times New Roman"/>
                <w:color w:val="auto"/>
                <w:highlight w:val="none"/>
                <w:lang w:eastAsia="zh-CN"/>
              </w:rPr>
              <w:t>；危险性类别：第</w:t>
            </w:r>
            <w:r>
              <w:rPr>
                <w:rFonts w:hint="eastAsia" w:ascii="Times New Roman" w:hAnsi="Times New Roman" w:eastAsia="宋体" w:cs="Times New Roman"/>
                <w:color w:val="auto"/>
                <w:highlight w:val="none"/>
                <w:lang w:val="en-US" w:eastAsia="zh-CN"/>
              </w:rPr>
              <w:t>3.2类中闪点易燃液体；</w:t>
            </w:r>
            <w:r>
              <w:rPr>
                <w:rFonts w:hint="eastAsia" w:ascii="Times New Roman" w:hAnsi="Times New Roman" w:eastAsia="宋体" w:cs="Times New Roman"/>
                <w:color w:val="auto"/>
                <w:highlight w:val="none"/>
                <w:lang w:eastAsia="zh-CN"/>
              </w:rPr>
              <w:t>熔点（</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-117.3℃、沸点（℃）78.5、</w:t>
            </w:r>
            <w:r>
              <w:rPr>
                <w:rFonts w:hint="eastAsia" w:ascii="Times New Roman" w:hAnsi="Times New Roman" w:eastAsia="宋体" w:cs="Times New Roman"/>
                <w:color w:val="auto"/>
                <w:highlight w:val="none"/>
                <w:lang w:eastAsia="zh-CN"/>
              </w:rPr>
              <w:t>相对密度（水</w:t>
            </w:r>
            <w:r>
              <w:rPr>
                <w:rFonts w:hint="eastAsia" w:ascii="Times New Roman" w:hAnsi="Times New Roman" w:eastAsia="宋体" w:cs="Times New Roman"/>
                <w:color w:val="auto"/>
                <w:highlight w:val="none"/>
                <w:lang w:val="en-US" w:eastAsia="zh-CN"/>
              </w:rPr>
              <w:t>=1</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0.7893、相对密度（空气=1）1.60；</w:t>
            </w:r>
            <w:r>
              <w:rPr>
                <w:rFonts w:hint="eastAsia" w:ascii="Times New Roman" w:hAnsi="Times New Roman" w:eastAsia="宋体" w:cs="Times New Roman"/>
                <w:color w:val="auto"/>
                <w:highlight w:val="none"/>
                <w:lang w:eastAsia="zh-CN"/>
              </w:rPr>
              <w:t>爆炸下限（</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3.3、爆炸上限（%）：19、自然点（℃）：363、闪点（℃）：13；</w:t>
            </w:r>
            <w:r>
              <w:rPr>
                <w:rFonts w:hint="eastAsia" w:ascii="Times New Roman" w:hAnsi="Times New Roman" w:eastAsia="宋体" w:cs="Times New Roman"/>
                <w:color w:val="auto"/>
                <w:highlight w:val="none"/>
                <w:lang w:eastAsia="zh-CN"/>
              </w:rPr>
              <w:t>溶解性：能与水、醚、苯类和其他有机溶剂混溶。</w:t>
            </w:r>
          </w:p>
          <w:p>
            <w:pPr>
              <w:pStyle w:val="8"/>
              <w:spacing w:before="0" w:after="0" w:line="360" w:lineRule="auto"/>
              <w:ind w:firstLine="0" w:firstLineChars="0"/>
              <w:jc w:val="left"/>
              <w:rPr>
                <w:rFonts w:hint="eastAsia" w:ascii="Times New Roman" w:hAnsi="Times New Roman" w:eastAsia="宋体" w:cs="Times New Roman"/>
                <w:bCs w:val="0"/>
                <w:color w:val="auto"/>
                <w:kern w:val="2"/>
                <w:sz w:val="24"/>
                <w:szCs w:val="21"/>
                <w:highlight w:val="none"/>
                <w:lang w:eastAsia="zh-CN"/>
              </w:rPr>
            </w:pPr>
            <w:r>
              <w:rPr>
                <w:rFonts w:hint="eastAsia" w:ascii="Times New Roman" w:hAnsi="Times New Roman" w:eastAsia="宋体" w:cs="Times New Roman"/>
                <w:bCs w:val="0"/>
                <w:color w:val="auto"/>
                <w:kern w:val="2"/>
                <w:sz w:val="24"/>
                <w:szCs w:val="21"/>
                <w:highlight w:val="none"/>
              </w:rPr>
              <w:t>2.</w:t>
            </w:r>
            <w:r>
              <w:rPr>
                <w:rFonts w:hint="eastAsia" w:cs="Times New Roman"/>
                <w:bCs w:val="0"/>
                <w:color w:val="auto"/>
                <w:kern w:val="2"/>
                <w:sz w:val="24"/>
                <w:szCs w:val="21"/>
                <w:highlight w:val="none"/>
                <w:lang w:val="en-US" w:eastAsia="zh-CN"/>
              </w:rPr>
              <w:t>6</w:t>
            </w:r>
            <w:r>
              <w:rPr>
                <w:rFonts w:hint="eastAsia" w:ascii="Times New Roman" w:hAnsi="Times New Roman" w:eastAsia="宋体" w:cs="Times New Roman"/>
                <w:bCs w:val="0"/>
                <w:color w:val="auto"/>
                <w:kern w:val="2"/>
                <w:sz w:val="24"/>
                <w:szCs w:val="21"/>
                <w:highlight w:val="none"/>
                <w:lang w:eastAsia="zh-CN"/>
              </w:rPr>
              <w:t>、</w:t>
            </w:r>
            <w:r>
              <w:rPr>
                <w:rFonts w:hint="eastAsia" w:cs="Times New Roman"/>
                <w:bCs w:val="0"/>
                <w:color w:val="auto"/>
                <w:kern w:val="2"/>
                <w:sz w:val="24"/>
                <w:szCs w:val="21"/>
                <w:highlight w:val="none"/>
                <w:lang w:val="en-US" w:eastAsia="zh-CN"/>
              </w:rPr>
              <w:t>公用工程</w:t>
            </w:r>
          </w:p>
          <w:p>
            <w:pPr>
              <w:pStyle w:val="9"/>
              <w:ind w:left="0" w:leftChars="0" w:firstLine="0" w:firstLineChars="0"/>
              <w:rPr>
                <w:rFonts w:hint="default"/>
                <w:color w:val="auto"/>
                <w:highlight w:val="none"/>
              </w:rPr>
            </w:pPr>
            <w:r>
              <w:rPr>
                <w:color w:val="auto"/>
                <w:highlight w:val="none"/>
              </w:rPr>
              <w:t>2.</w:t>
            </w:r>
            <w:r>
              <w:rPr>
                <w:rFonts w:hint="eastAsia"/>
                <w:color w:val="auto"/>
                <w:highlight w:val="none"/>
                <w:lang w:val="en-US" w:eastAsia="zh-CN"/>
              </w:rPr>
              <w:t>6</w:t>
            </w:r>
            <w:r>
              <w:rPr>
                <w:color w:val="auto"/>
                <w:highlight w:val="none"/>
              </w:rPr>
              <w:t>.</w:t>
            </w:r>
            <w:r>
              <w:rPr>
                <w:rFonts w:hint="default"/>
                <w:color w:val="auto"/>
                <w:highlight w:val="none"/>
              </w:rPr>
              <w:t>1</w:t>
            </w:r>
            <w:r>
              <w:rPr>
                <w:rFonts w:hint="eastAsia"/>
                <w:color w:val="auto"/>
                <w:highlight w:val="none"/>
                <w:lang w:eastAsia="zh-CN"/>
              </w:rPr>
              <w:t>、</w:t>
            </w:r>
            <w:r>
              <w:rPr>
                <w:rFonts w:hint="default"/>
                <w:color w:val="auto"/>
                <w:highlight w:val="none"/>
              </w:rPr>
              <w:t>给</w:t>
            </w:r>
            <w:r>
              <w:rPr>
                <w:rFonts w:hint="eastAsia"/>
                <w:color w:val="auto"/>
                <w:highlight w:val="none"/>
                <w:lang w:val="en-US" w:eastAsia="zh-CN"/>
              </w:rPr>
              <w:t>排水</w:t>
            </w:r>
          </w:p>
          <w:p>
            <w:pPr>
              <w:ind w:firstLine="480" w:firstLineChars="200"/>
              <w:rPr>
                <w:rFonts w:hint="eastAsia" w:ascii="Times New Roman" w:hAnsi="Times New Roman" w:cs="Times New Roman"/>
                <w:color w:val="auto"/>
                <w:highlight w:val="none"/>
              </w:rPr>
            </w:pPr>
            <w:r>
              <w:rPr>
                <w:rFonts w:hint="eastAsia" w:ascii="Times New Roman" w:hAnsi="Times New Roman" w:cs="Times New Roman"/>
                <w:color w:val="auto"/>
                <w:highlight w:val="none"/>
              </w:rPr>
              <w:t>(1)给水</w:t>
            </w:r>
          </w:p>
          <w:p>
            <w:pPr>
              <w:ind w:firstLine="480" w:firstLineChars="200"/>
              <w:rPr>
                <w:rFonts w:hint="eastAsia" w:ascii="Times New Roman" w:hAnsi="Times New Roman" w:cs="Times New Roman"/>
                <w:color w:val="auto"/>
                <w:highlight w:val="none"/>
              </w:rPr>
            </w:pPr>
            <w:r>
              <w:rPr>
                <w:rFonts w:hint="eastAsia" w:ascii="Times New Roman" w:hAnsi="Times New Roman" w:cs="Times New Roman"/>
                <w:color w:val="auto"/>
                <w:highlight w:val="none"/>
              </w:rPr>
              <w:t>年用水总量为1530m³。</w:t>
            </w:r>
          </w:p>
          <w:p>
            <w:pPr>
              <w:ind w:firstLine="480" w:firstLineChars="200"/>
              <w:rPr>
                <w:rFonts w:hint="eastAsia" w:ascii="Times New Roman" w:hAnsi="Times New Roman" w:cs="Times New Roman"/>
                <w:color w:val="auto"/>
                <w:highlight w:val="none"/>
              </w:rPr>
            </w:pPr>
            <w:r>
              <w:rPr>
                <w:rFonts w:hint="eastAsia" w:ascii="Times New Roman" w:hAnsi="Times New Roman" w:cs="Times New Roman"/>
                <w:color w:val="auto"/>
                <w:highlight w:val="none"/>
              </w:rPr>
              <w:t>生产用水量为1330m³/a，主要用于搅拌耐火土、石英砂；生活用水量为200m³/a。</w:t>
            </w:r>
          </w:p>
          <w:p>
            <w:pPr>
              <w:ind w:firstLine="480" w:firstLineChars="200"/>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(2)</w:t>
            </w:r>
            <w:r>
              <w:rPr>
                <w:rFonts w:hint="eastAsia" w:ascii="Times New Roman" w:hAnsi="Times New Roman" w:cs="Times New Roman"/>
                <w:color w:val="auto"/>
                <w:highlight w:val="none"/>
              </w:rPr>
              <w:t>排水</w:t>
            </w:r>
          </w:p>
          <w:p>
            <w:pPr>
              <w:ind w:firstLine="480" w:firstLineChars="200"/>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现有工程</w:t>
            </w:r>
            <w:r>
              <w:rPr>
                <w:rFonts w:hint="eastAsia" w:ascii="Times New Roman" w:hAnsi="Times New Roman" w:cs="Times New Roman"/>
                <w:color w:val="auto"/>
                <w:highlight w:val="none"/>
              </w:rPr>
              <w:t>生产用水只添加不排放；项目生活废水由化粪池处理后经市政管网排入秦皇岛第三污水处理厂。</w:t>
            </w:r>
          </w:p>
          <w:p>
            <w:pPr>
              <w:pStyle w:val="9"/>
              <w:ind w:left="0" w:leftChars="0" w:firstLine="0" w:firstLineChars="0"/>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2.6.2、</w:t>
            </w:r>
            <w:r>
              <w:rPr>
                <w:rFonts w:hint="eastAsia" w:ascii="Times New Roman" w:hAnsi="Times New Roman" w:cs="Times New Roman"/>
                <w:color w:val="auto"/>
                <w:highlight w:val="none"/>
              </w:rPr>
              <w:t>供电</w:t>
            </w:r>
          </w:p>
          <w:p>
            <w:pPr>
              <w:ind w:firstLine="480" w:firstLineChars="200"/>
              <w:rPr>
                <w:rFonts w:hint="eastAsia" w:ascii="Times New Roman" w:hAnsi="Times New Roman" w:cs="Times New Roman"/>
                <w:color w:val="auto"/>
                <w:highlight w:val="none"/>
              </w:rPr>
            </w:pPr>
            <w:r>
              <w:rPr>
                <w:rFonts w:hint="eastAsia" w:ascii="Times New Roman" w:hAnsi="Times New Roman" w:cs="Times New Roman"/>
                <w:color w:val="auto"/>
                <w:highlight w:val="none"/>
              </w:rPr>
              <w:t>该项目供电由开发区电力公司提供，全年耗电40.5万度，满足用电需要。</w:t>
            </w:r>
          </w:p>
          <w:p>
            <w:pPr>
              <w:pStyle w:val="9"/>
              <w:ind w:left="0" w:leftChars="0" w:firstLine="0" w:firstLineChars="0"/>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2.6.3、供热</w:t>
            </w:r>
          </w:p>
          <w:p>
            <w:pPr>
              <w:ind w:firstLine="480" w:firstLineChars="200"/>
              <w:rPr>
                <w:rFonts w:hint="eastAsia" w:ascii="Times New Roman" w:hAnsi="Times New Roman" w:cs="Times New Roman"/>
                <w:color w:val="auto"/>
                <w:highlight w:val="none"/>
              </w:rPr>
            </w:pPr>
            <w:r>
              <w:rPr>
                <w:rFonts w:hint="eastAsia" w:ascii="Times New Roman" w:hAnsi="Times New Roman" w:cs="Times New Roman"/>
                <w:color w:val="auto"/>
                <w:highlight w:val="none"/>
              </w:rPr>
              <w:t>本项目模具成型加热使用电加热棒加热，冬季办公室采取空调供暖。</w:t>
            </w:r>
          </w:p>
          <w:p>
            <w:pPr>
              <w:pStyle w:val="8"/>
              <w:spacing w:before="0" w:after="0" w:line="360" w:lineRule="auto"/>
              <w:ind w:firstLine="0" w:firstLineChars="0"/>
              <w:jc w:val="left"/>
              <w:rPr>
                <w:rFonts w:hint="eastAsia" w:ascii="Times New Roman" w:hAnsi="Times New Roman" w:eastAsia="宋体" w:cs="Times New Roman"/>
                <w:bCs w:val="0"/>
                <w:color w:val="auto"/>
                <w:kern w:val="2"/>
                <w:sz w:val="24"/>
                <w:szCs w:val="21"/>
                <w:highlight w:val="none"/>
              </w:rPr>
            </w:pPr>
            <w:r>
              <w:rPr>
                <w:rFonts w:hint="eastAsia" w:ascii="Times New Roman" w:hAnsi="Times New Roman" w:eastAsia="宋体" w:cs="Times New Roman"/>
                <w:bCs w:val="0"/>
                <w:color w:val="auto"/>
                <w:kern w:val="2"/>
                <w:sz w:val="24"/>
                <w:szCs w:val="21"/>
                <w:highlight w:val="none"/>
              </w:rPr>
              <w:t>2.</w:t>
            </w:r>
            <w:r>
              <w:rPr>
                <w:rFonts w:hint="eastAsia" w:ascii="Times New Roman" w:hAnsi="Times New Roman" w:eastAsia="宋体" w:cs="Times New Roman"/>
                <w:bCs w:val="0"/>
                <w:color w:val="auto"/>
                <w:kern w:val="2"/>
                <w:sz w:val="24"/>
                <w:szCs w:val="21"/>
                <w:highlight w:val="none"/>
                <w:lang w:val="en-US" w:eastAsia="zh-CN"/>
              </w:rPr>
              <w:t>6</w:t>
            </w:r>
            <w:r>
              <w:rPr>
                <w:rFonts w:hint="eastAsia" w:ascii="Times New Roman" w:hAnsi="Times New Roman" w:eastAsia="宋体" w:cs="Times New Roman"/>
                <w:bCs w:val="0"/>
                <w:color w:val="auto"/>
                <w:kern w:val="2"/>
                <w:sz w:val="24"/>
                <w:szCs w:val="21"/>
                <w:highlight w:val="none"/>
                <w:lang w:eastAsia="zh-CN"/>
              </w:rPr>
              <w:t>、</w:t>
            </w:r>
            <w:r>
              <w:rPr>
                <w:rFonts w:hint="eastAsia" w:ascii="Times New Roman" w:hAnsi="Times New Roman" w:eastAsia="宋体" w:cs="Times New Roman"/>
                <w:bCs w:val="0"/>
                <w:color w:val="auto"/>
                <w:kern w:val="2"/>
                <w:sz w:val="24"/>
                <w:szCs w:val="21"/>
                <w:highlight w:val="none"/>
              </w:rPr>
              <w:t>现有工程工艺流程</w:t>
            </w:r>
          </w:p>
          <w:p>
            <w:pPr>
              <w:ind w:firstLine="480" w:firstLineChars="200"/>
              <w:rPr>
                <w:rFonts w:hint="eastAsia" w:ascii="Times New Roman" w:hAnsi="Times New Roman" w:cs="Times New Roman"/>
                <w:color w:val="auto"/>
                <w:highlight w:val="none"/>
                <w:lang w:val="en-US" w:eastAsia="zh-CN"/>
              </w:rPr>
            </w:pPr>
            <w:r>
              <w:rPr>
                <w:rFonts w:hint="eastAsia" w:cs="Times New Roman"/>
                <w:color w:val="auto"/>
                <w:highlight w:val="none"/>
                <w:lang w:val="en-US" w:eastAsia="zh-CN"/>
              </w:rPr>
              <w:t>热砂芯</w:t>
            </w:r>
            <w:r>
              <w:rPr>
                <w:rFonts w:hint="eastAsia" w:ascii="Times New Roman" w:hAnsi="Times New Roman" w:cs="Times New Roman"/>
                <w:color w:val="auto"/>
                <w:highlight w:val="none"/>
                <w:lang w:val="en-US" w:eastAsia="zh-CN"/>
              </w:rPr>
              <w:t>：</w:t>
            </w:r>
          </w:p>
          <w:p>
            <w:pPr>
              <w:ind w:firstLine="480" w:firstLineChars="200"/>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（1）成型</w:t>
            </w:r>
            <w:r>
              <w:rPr>
                <w:rFonts w:hint="eastAsia" w:ascii="Times New Roman" w:hAnsi="Times New Roman" w:cs="Times New Roman"/>
                <w:color w:val="auto"/>
                <w:highlight w:val="none"/>
              </w:rPr>
              <w:t>：</w:t>
            </w:r>
            <w:r>
              <w:rPr>
                <w:rFonts w:hint="eastAsia" w:ascii="Times New Roman" w:hAnsi="Times New Roman" w:cs="Times New Roman"/>
                <w:color w:val="auto"/>
                <w:highlight w:val="none"/>
                <w:lang w:val="en-US" w:eastAsia="zh-CN"/>
              </w:rPr>
              <w:t>原料砂进入压力罐送至金属模具，使用电加热棒进行加热达到200℃升温固化成型，此过程不产生燃烧废气；</w:t>
            </w:r>
          </w:p>
          <w:p>
            <w:pPr>
              <w:ind w:firstLine="480" w:firstLineChars="200"/>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（2）脱模</w:t>
            </w:r>
            <w:r>
              <w:rPr>
                <w:rFonts w:hint="eastAsia" w:ascii="Times New Roman" w:hAnsi="Times New Roman" w:cs="Times New Roman"/>
                <w:color w:val="auto"/>
                <w:highlight w:val="none"/>
              </w:rPr>
              <w:t>：</w:t>
            </w:r>
            <w:r>
              <w:rPr>
                <w:rFonts w:hint="eastAsia" w:ascii="Times New Roman" w:hAnsi="Times New Roman" w:cs="Times New Roman"/>
                <w:color w:val="auto"/>
                <w:highlight w:val="none"/>
                <w:lang w:eastAsia="zh-CN"/>
              </w:rPr>
              <w:t>利用</w:t>
            </w:r>
            <w:r>
              <w:rPr>
                <w:rFonts w:hint="eastAsia" w:ascii="Times New Roman" w:hAnsi="Times New Roman" w:cs="Times New Roman"/>
                <w:color w:val="auto"/>
                <w:highlight w:val="none"/>
                <w:lang w:val="en-US" w:eastAsia="zh-CN"/>
              </w:rPr>
              <w:t>脱模机及植物油进行脱模；</w:t>
            </w:r>
          </w:p>
          <w:p>
            <w:pPr>
              <w:ind w:firstLine="480" w:firstLineChars="200"/>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（3）涂装涂料：在涂装房内进行手工涂料涂装</w:t>
            </w:r>
          </w:p>
          <w:p>
            <w:pPr>
              <w:ind w:firstLine="480" w:firstLineChars="200"/>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模具打磨修复：模具使用砂轮机定期打磨修复，此过程产生的金属颗粒物使用布袋除尘器进行收集处理；</w:t>
            </w:r>
          </w:p>
          <w:p>
            <w:pPr>
              <w:ind w:firstLine="480" w:firstLineChars="200"/>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铸造材料：</w:t>
            </w:r>
          </w:p>
          <w:p>
            <w:pPr>
              <w:ind w:firstLine="480" w:firstLineChars="200"/>
              <w:rPr>
                <w:rFonts w:hint="eastAsia" w:ascii="Times New Roman" w:hAnsi="Times New Roman" w:cs="Times New Roman"/>
                <w:color w:val="auto"/>
                <w:highlight w:val="none"/>
                <w:lang w:val="en-US" w:eastAsia="zh-CN"/>
              </w:rPr>
            </w:pPr>
            <w:r>
              <w:rPr>
                <w:rFonts w:hint="eastAsia" w:cs="Times New Roman"/>
                <w:color w:val="auto"/>
                <w:highlight w:val="none"/>
                <w:lang w:val="en-US" w:eastAsia="zh-CN"/>
              </w:rPr>
              <w:t>生</w:t>
            </w:r>
            <w:r>
              <w:rPr>
                <w:rFonts w:hint="eastAsia" w:ascii="Times New Roman" w:hAnsi="Times New Roman" w:cs="Times New Roman"/>
                <w:color w:val="auto"/>
                <w:highlight w:val="none"/>
                <w:lang w:val="en-US" w:eastAsia="zh-CN"/>
              </w:rPr>
              <w:t>产的产品为铸造材料，由石英砂，耐火土和相对量的水混合搅拌至泥膏状，然后包装待出库。现有工艺无污染物产生。</w:t>
            </w:r>
          </w:p>
          <w:p>
            <w:pPr>
              <w:ind w:left="0" w:leftChars="0" w:firstLine="0" w:firstLineChars="0"/>
              <w:jc w:val="center"/>
              <w:rPr>
                <w:rFonts w:hint="eastAsia" w:eastAsia="宋体"/>
                <w:color w:val="auto"/>
                <w:highlight w:val="none"/>
                <w:lang w:eastAsia="zh-CN"/>
              </w:rPr>
            </w:pPr>
            <w:r>
              <w:rPr>
                <w:color w:val="auto"/>
                <w:highlight w:val="none"/>
              </w:rPr>
              <w:drawing>
                <wp:inline distT="0" distB="0" distL="114300" distR="114300">
                  <wp:extent cx="5095875" cy="2924175"/>
                  <wp:effectExtent l="0" t="0" r="9525" b="9525"/>
                  <wp:docPr id="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
                          <pic:cNvPicPr>
                            <a:picLocks noChangeAspect="1"/>
                          </pic:cNvPicPr>
                        </pic:nvPicPr>
                        <pic:blipFill>
                          <a:blip r:embed="rId12"/>
                          <a:stretch>
                            <a:fillRect/>
                          </a:stretch>
                        </pic:blipFill>
                        <pic:spPr>
                          <a:xfrm>
                            <a:off x="0" y="0"/>
                            <a:ext cx="5095875" cy="2924175"/>
                          </a:xfrm>
                          <a:prstGeom prst="rect">
                            <a:avLst/>
                          </a:prstGeom>
                          <a:noFill/>
                          <a:ln>
                            <a:noFill/>
                          </a:ln>
                        </pic:spPr>
                      </pic:pic>
                    </a:graphicData>
                  </a:graphic>
                </wp:inline>
              </w:drawing>
            </w:r>
          </w:p>
          <w:p>
            <w:pPr>
              <w:pStyle w:val="45"/>
              <w:ind w:left="482" w:hanging="482"/>
              <w:rPr>
                <w:rFonts w:hint="eastAsia" w:ascii="Times New Roman" w:hAnsi="Times New Roman" w:eastAsia="宋体" w:cs="Times New Roman"/>
                <w:color w:val="auto"/>
                <w:sz w:val="24"/>
                <w:szCs w:val="24"/>
                <w:highlight w:val="none"/>
                <w:lang w:eastAsia="zh-CN"/>
              </w:rPr>
            </w:pPr>
            <w:r>
              <w:rPr>
                <w:rFonts w:hint="eastAsia" w:ascii="Times New Roman" w:hAnsi="Times New Roman" w:eastAsia="宋体" w:cs="Times New Roman"/>
                <w:color w:val="auto"/>
                <w:sz w:val="24"/>
                <w:szCs w:val="24"/>
                <w:highlight w:val="none"/>
              </w:rPr>
              <w:t>图</w:t>
            </w:r>
            <w:r>
              <w:rPr>
                <w:rFonts w:hint="eastAsia" w:ascii="Times New Roman" w:hAnsi="Times New Roman" w:eastAsia="宋体" w:cs="Times New Roman"/>
                <w:color w:val="auto"/>
                <w:sz w:val="24"/>
                <w:szCs w:val="24"/>
                <w:highlight w:val="none"/>
                <w:lang w:val="en-US" w:eastAsia="zh-CN"/>
              </w:rPr>
              <w:t>2-</w:t>
            </w:r>
            <w:r>
              <w:rPr>
                <w:rFonts w:hint="eastAsia" w:cs="Times New Roman"/>
                <w:color w:val="auto"/>
                <w:sz w:val="24"/>
                <w:szCs w:val="24"/>
                <w:highlight w:val="none"/>
                <w:lang w:val="en-US" w:eastAsia="zh-CN"/>
              </w:rPr>
              <w:t>1</w:t>
            </w:r>
            <w:r>
              <w:rPr>
                <w:rFonts w:hint="eastAsia" w:ascii="Times New Roman" w:hAnsi="Times New Roman" w:eastAsia="宋体" w:cs="Times New Roman"/>
                <w:color w:val="auto"/>
                <w:sz w:val="24"/>
                <w:szCs w:val="24"/>
                <w:highlight w:val="none"/>
              </w:rPr>
              <w:t xml:space="preserve">  </w:t>
            </w:r>
            <w:r>
              <w:rPr>
                <w:rFonts w:hint="eastAsia" w:ascii="Times New Roman" w:hAnsi="Times New Roman" w:eastAsia="宋体" w:cs="Times New Roman"/>
                <w:color w:val="auto"/>
                <w:sz w:val="24"/>
                <w:szCs w:val="24"/>
                <w:highlight w:val="none"/>
                <w:lang w:val="en-US" w:eastAsia="zh-CN"/>
              </w:rPr>
              <w:t>现有</w:t>
            </w:r>
            <w:r>
              <w:rPr>
                <w:rFonts w:hint="eastAsia" w:ascii="Times New Roman" w:hAnsi="Times New Roman" w:eastAsia="宋体" w:cs="Times New Roman"/>
                <w:color w:val="auto"/>
                <w:sz w:val="24"/>
                <w:szCs w:val="24"/>
                <w:highlight w:val="none"/>
              </w:rPr>
              <w:t>工艺流程</w:t>
            </w:r>
            <w:r>
              <w:rPr>
                <w:rFonts w:hint="eastAsia" w:ascii="Times New Roman" w:hAnsi="Times New Roman" w:eastAsia="宋体" w:cs="Times New Roman"/>
                <w:color w:val="auto"/>
                <w:sz w:val="24"/>
                <w:szCs w:val="24"/>
                <w:highlight w:val="none"/>
                <w:lang w:val="en-US" w:eastAsia="zh-CN"/>
              </w:rPr>
              <w:t>及排污节点</w:t>
            </w:r>
            <w:r>
              <w:rPr>
                <w:rFonts w:hint="eastAsia" w:ascii="Times New Roman" w:hAnsi="Times New Roman" w:eastAsia="宋体" w:cs="Times New Roman"/>
                <w:color w:val="auto"/>
                <w:sz w:val="24"/>
                <w:szCs w:val="24"/>
                <w:highlight w:val="none"/>
              </w:rPr>
              <w:t>图</w:t>
            </w:r>
          </w:p>
          <w:p>
            <w:pPr>
              <w:pStyle w:val="7"/>
              <w:ind w:firstLine="0" w:firstLineChars="0"/>
              <w:jc w:val="left"/>
              <w:rPr>
                <w:rFonts w:hint="eastAsia" w:ascii="Times New Roman" w:hAnsi="Times New Roman" w:eastAsia="宋体" w:cs="Times New Roman"/>
                <w:b/>
                <w:bCs w:val="0"/>
                <w:color w:val="auto"/>
                <w:sz w:val="28"/>
                <w:szCs w:val="24"/>
                <w:highlight w:val="none"/>
                <w:lang w:val="en-US" w:eastAsia="zh-CN"/>
              </w:rPr>
            </w:pPr>
            <w:r>
              <w:rPr>
                <w:rFonts w:hint="eastAsia" w:ascii="Times New Roman" w:hAnsi="Times New Roman" w:eastAsia="宋体" w:cs="Times New Roman"/>
                <w:b/>
                <w:bCs w:val="0"/>
                <w:color w:val="auto"/>
                <w:sz w:val="28"/>
                <w:szCs w:val="24"/>
                <w:highlight w:val="none"/>
                <w:lang w:val="en-US" w:eastAsia="zh-CN"/>
              </w:rPr>
              <w:t>3、</w:t>
            </w:r>
            <w:r>
              <w:rPr>
                <w:rFonts w:hint="eastAsia" w:cs="Times New Roman"/>
                <w:b/>
                <w:bCs w:val="0"/>
                <w:color w:val="auto"/>
                <w:sz w:val="28"/>
                <w:szCs w:val="24"/>
                <w:highlight w:val="none"/>
                <w:lang w:val="en-US" w:eastAsia="zh-CN"/>
              </w:rPr>
              <w:t>扩建</w:t>
            </w:r>
            <w:r>
              <w:rPr>
                <w:rFonts w:hint="eastAsia" w:ascii="Times New Roman" w:hAnsi="Times New Roman" w:eastAsia="宋体" w:cs="Times New Roman"/>
                <w:b/>
                <w:bCs w:val="0"/>
                <w:color w:val="auto"/>
                <w:sz w:val="28"/>
                <w:szCs w:val="24"/>
                <w:highlight w:val="none"/>
                <w:lang w:val="en-US" w:eastAsia="zh-CN"/>
              </w:rPr>
              <w:t>项目</w:t>
            </w:r>
          </w:p>
          <w:p>
            <w:pPr>
              <w:pStyle w:val="8"/>
              <w:spacing w:before="0" w:after="0" w:line="360" w:lineRule="auto"/>
              <w:ind w:firstLine="0" w:firstLineChars="0"/>
              <w:jc w:val="left"/>
              <w:rPr>
                <w:rFonts w:hint="eastAsia" w:ascii="Times New Roman" w:hAnsi="Times New Roman" w:eastAsia="宋体" w:cs="Times New Roman"/>
                <w:bCs w:val="0"/>
                <w:color w:val="auto"/>
                <w:kern w:val="2"/>
                <w:sz w:val="24"/>
                <w:szCs w:val="21"/>
                <w:highlight w:val="none"/>
              </w:rPr>
            </w:pPr>
            <w:r>
              <w:rPr>
                <w:rFonts w:hint="eastAsia" w:ascii="Times New Roman" w:hAnsi="Times New Roman" w:eastAsia="宋体" w:cs="Times New Roman"/>
                <w:bCs w:val="0"/>
                <w:color w:val="auto"/>
                <w:kern w:val="2"/>
                <w:sz w:val="24"/>
                <w:szCs w:val="21"/>
                <w:highlight w:val="none"/>
              </w:rPr>
              <w:t>3.1</w:t>
            </w:r>
            <w:r>
              <w:rPr>
                <w:rFonts w:hint="eastAsia" w:ascii="Times New Roman" w:hAnsi="Times New Roman" w:eastAsia="宋体" w:cs="Times New Roman"/>
                <w:bCs w:val="0"/>
                <w:color w:val="auto"/>
                <w:kern w:val="2"/>
                <w:sz w:val="24"/>
                <w:szCs w:val="21"/>
                <w:highlight w:val="none"/>
                <w:lang w:eastAsia="zh-CN"/>
              </w:rPr>
              <w:t>、</w:t>
            </w:r>
            <w:r>
              <w:rPr>
                <w:rFonts w:hint="eastAsia" w:cs="Times New Roman"/>
                <w:bCs w:val="0"/>
                <w:color w:val="auto"/>
                <w:kern w:val="2"/>
                <w:sz w:val="24"/>
                <w:szCs w:val="21"/>
                <w:highlight w:val="none"/>
                <w:lang w:val="en-US" w:eastAsia="zh-CN"/>
              </w:rPr>
              <w:t>扩建</w:t>
            </w:r>
            <w:r>
              <w:rPr>
                <w:rFonts w:hint="eastAsia" w:ascii="Times New Roman" w:hAnsi="Times New Roman" w:eastAsia="宋体" w:cs="Times New Roman"/>
                <w:bCs w:val="0"/>
                <w:color w:val="auto"/>
                <w:kern w:val="2"/>
                <w:sz w:val="24"/>
                <w:szCs w:val="21"/>
                <w:highlight w:val="none"/>
              </w:rPr>
              <w:t>项目概况</w:t>
            </w:r>
          </w:p>
          <w:p>
            <w:pPr>
              <w:pStyle w:val="30"/>
              <w:keepNext w:val="0"/>
              <w:keepLines w:val="0"/>
              <w:pageBreakBefore w:val="0"/>
              <w:widowControl w:val="0"/>
              <w:kinsoku/>
              <w:wordWrap/>
              <w:overflowPunct/>
              <w:topLinePunct w:val="0"/>
              <w:autoSpaceDE/>
              <w:autoSpaceDN/>
              <w:bidi w:val="0"/>
              <w:spacing w:after="0" w:line="360" w:lineRule="auto"/>
              <w:ind w:left="0" w:leftChars="0" w:firstLine="480"/>
              <w:textAlignment w:val="auto"/>
              <w:rPr>
                <w:rFonts w:hint="eastAsia"/>
                <w:snapToGrid w:val="0"/>
                <w:color w:val="auto"/>
                <w:sz w:val="24"/>
                <w:szCs w:val="24"/>
                <w:highlight w:val="none"/>
              </w:rPr>
            </w:pPr>
            <w:r>
              <w:rPr>
                <w:rFonts w:hint="eastAsia"/>
                <w:snapToGrid w:val="0"/>
                <w:color w:val="auto"/>
                <w:sz w:val="24"/>
                <w:szCs w:val="24"/>
                <w:highlight w:val="none"/>
              </w:rPr>
              <w:t>（1）项目名称</w:t>
            </w:r>
            <w:r>
              <w:rPr>
                <w:rFonts w:hint="eastAsia" w:ascii="Times New Roman" w:hAnsi="Times New Roman" w:eastAsia="宋体" w:cs="Times New Roman"/>
                <w:b w:val="0"/>
                <w:color w:val="auto"/>
                <w:sz w:val="24"/>
                <w:highlight w:val="none"/>
                <w:lang w:eastAsia="zh-CN"/>
              </w:rPr>
              <w:t>：</w:t>
            </w:r>
            <w:r>
              <w:rPr>
                <w:rFonts w:hint="eastAsia" w:cs="Times New Roman"/>
                <w:color w:val="auto"/>
                <w:highlight w:val="none"/>
                <w:lang w:val="en-US" w:eastAsia="zh-CN"/>
              </w:rPr>
              <w:t>钢板、轮毂及铝制品加工生产项目</w:t>
            </w:r>
            <w:r>
              <w:rPr>
                <w:rFonts w:hint="eastAsia" w:ascii="Times New Roman" w:hAnsi="Times New Roman" w:eastAsia="宋体" w:cs="Times New Roman"/>
                <w:b w:val="0"/>
                <w:color w:val="auto"/>
                <w:sz w:val="24"/>
                <w:highlight w:val="none"/>
                <w:lang w:eastAsia="zh-CN"/>
              </w:rPr>
              <w:t>。</w:t>
            </w:r>
          </w:p>
          <w:p>
            <w:pPr>
              <w:pStyle w:val="30"/>
              <w:keepNext w:val="0"/>
              <w:keepLines w:val="0"/>
              <w:pageBreakBefore w:val="0"/>
              <w:widowControl w:val="0"/>
              <w:kinsoku/>
              <w:wordWrap/>
              <w:overflowPunct/>
              <w:topLinePunct w:val="0"/>
              <w:autoSpaceDE/>
              <w:autoSpaceDN/>
              <w:bidi w:val="0"/>
              <w:spacing w:after="0" w:line="360" w:lineRule="auto"/>
              <w:ind w:left="0" w:leftChars="0" w:firstLine="480"/>
              <w:textAlignment w:val="auto"/>
              <w:rPr>
                <w:rFonts w:hint="eastAsia" w:ascii="Times New Roman" w:hAnsi="Times New Roman" w:cs="Times New Roman"/>
                <w:snapToGrid w:val="0"/>
                <w:color w:val="auto"/>
                <w:sz w:val="24"/>
                <w:szCs w:val="24"/>
                <w:highlight w:val="none"/>
              </w:rPr>
            </w:pPr>
            <w:r>
              <w:rPr>
                <w:rFonts w:hint="eastAsia"/>
                <w:snapToGrid w:val="0"/>
                <w:color w:val="auto"/>
                <w:sz w:val="24"/>
                <w:szCs w:val="24"/>
                <w:highlight w:val="none"/>
              </w:rPr>
              <w:t>（2）建设单位：</w:t>
            </w:r>
            <w:r>
              <w:rPr>
                <w:rFonts w:hint="eastAsia" w:ascii="Times New Roman" w:hAnsi="Times New Roman" w:cs="Times New Roman"/>
                <w:snapToGrid w:val="0"/>
                <w:color w:val="auto"/>
                <w:sz w:val="24"/>
                <w:szCs w:val="24"/>
                <w:highlight w:val="none"/>
                <w:lang w:val="en-US" w:eastAsia="zh-CN"/>
              </w:rPr>
              <w:t>秦皇岛开发区隆兴工贸有限公司</w:t>
            </w:r>
            <w:r>
              <w:rPr>
                <w:rFonts w:hint="eastAsia" w:ascii="Times New Roman" w:hAnsi="Times New Roman" w:cs="Times New Roman"/>
                <w:snapToGrid w:val="0"/>
                <w:color w:val="auto"/>
                <w:sz w:val="24"/>
                <w:szCs w:val="24"/>
                <w:highlight w:val="none"/>
              </w:rPr>
              <w:t>。</w:t>
            </w:r>
          </w:p>
          <w:p>
            <w:pPr>
              <w:pStyle w:val="30"/>
              <w:keepNext w:val="0"/>
              <w:keepLines w:val="0"/>
              <w:pageBreakBefore w:val="0"/>
              <w:widowControl w:val="0"/>
              <w:kinsoku/>
              <w:wordWrap/>
              <w:overflowPunct/>
              <w:topLinePunct w:val="0"/>
              <w:autoSpaceDE/>
              <w:autoSpaceDN/>
              <w:bidi w:val="0"/>
              <w:spacing w:after="0" w:line="360" w:lineRule="auto"/>
              <w:ind w:left="0" w:leftChars="0" w:firstLine="480"/>
              <w:textAlignment w:val="auto"/>
              <w:rPr>
                <w:rFonts w:hint="eastAsia"/>
                <w:snapToGrid w:val="0"/>
                <w:color w:val="auto"/>
                <w:sz w:val="24"/>
                <w:szCs w:val="24"/>
                <w:highlight w:val="none"/>
              </w:rPr>
            </w:pPr>
            <w:r>
              <w:rPr>
                <w:rFonts w:hint="eastAsia"/>
                <w:snapToGrid w:val="0"/>
                <w:color w:val="auto"/>
                <w:sz w:val="24"/>
                <w:szCs w:val="24"/>
                <w:highlight w:val="none"/>
              </w:rPr>
              <w:t>（3）项目性质：</w:t>
            </w:r>
            <w:r>
              <w:rPr>
                <w:rFonts w:hint="eastAsia"/>
                <w:snapToGrid w:val="0"/>
                <w:color w:val="auto"/>
                <w:sz w:val="24"/>
                <w:szCs w:val="24"/>
                <w:highlight w:val="none"/>
                <w:lang w:val="en-US" w:eastAsia="zh-CN"/>
              </w:rPr>
              <w:t>扩建</w:t>
            </w:r>
            <w:r>
              <w:rPr>
                <w:rFonts w:hint="eastAsia"/>
                <w:snapToGrid w:val="0"/>
                <w:color w:val="auto"/>
                <w:sz w:val="24"/>
                <w:szCs w:val="24"/>
                <w:highlight w:val="none"/>
              </w:rPr>
              <w:t>。</w:t>
            </w:r>
          </w:p>
          <w:p>
            <w:pPr>
              <w:pStyle w:val="30"/>
              <w:keepNext w:val="0"/>
              <w:keepLines w:val="0"/>
              <w:pageBreakBefore w:val="0"/>
              <w:widowControl w:val="0"/>
              <w:kinsoku/>
              <w:wordWrap/>
              <w:overflowPunct/>
              <w:topLinePunct w:val="0"/>
              <w:autoSpaceDE/>
              <w:autoSpaceDN/>
              <w:bidi w:val="0"/>
              <w:spacing w:after="0" w:line="360" w:lineRule="auto"/>
              <w:ind w:left="0" w:leftChars="0" w:firstLine="480"/>
              <w:textAlignment w:val="auto"/>
              <w:rPr>
                <w:rFonts w:hint="eastAsia" w:eastAsia="宋体"/>
                <w:snapToGrid w:val="0"/>
                <w:color w:val="auto"/>
                <w:sz w:val="24"/>
                <w:szCs w:val="24"/>
                <w:highlight w:val="none"/>
                <w:lang w:eastAsia="zh-CN"/>
              </w:rPr>
            </w:pPr>
            <w:r>
              <w:rPr>
                <w:rFonts w:hint="eastAsia"/>
                <w:snapToGrid w:val="0"/>
                <w:color w:val="auto"/>
                <w:sz w:val="24"/>
                <w:szCs w:val="24"/>
                <w:highlight w:val="none"/>
              </w:rPr>
              <w:t>（4）建设地点：本项目位</w:t>
            </w:r>
            <w:r>
              <w:rPr>
                <w:b w:val="0"/>
                <w:color w:val="auto"/>
                <w:sz w:val="24"/>
                <w:highlight w:val="none"/>
              </w:rPr>
              <w:t>于</w:t>
            </w:r>
            <w:r>
              <w:rPr>
                <w:rFonts w:hint="eastAsia"/>
                <w:b w:val="0"/>
                <w:color w:val="auto"/>
                <w:sz w:val="24"/>
                <w:highlight w:val="none"/>
                <w:lang w:val="en-US" w:eastAsia="zh-CN"/>
              </w:rPr>
              <w:t>原厂区内</w:t>
            </w:r>
            <w:r>
              <w:rPr>
                <w:b w:val="0"/>
                <w:color w:val="auto"/>
                <w:sz w:val="24"/>
                <w:highlight w:val="none"/>
              </w:rPr>
              <w:t>，</w:t>
            </w:r>
            <w:r>
              <w:rPr>
                <w:rFonts w:hint="eastAsia"/>
                <w:b w:val="0"/>
                <w:color w:val="auto"/>
                <w:sz w:val="24"/>
                <w:highlight w:val="none"/>
              </w:rPr>
              <w:t>地理位置及四周关系无变化</w:t>
            </w:r>
            <w:r>
              <w:rPr>
                <w:rFonts w:hint="eastAsia"/>
                <w:b w:val="0"/>
                <w:color w:val="auto"/>
                <w:sz w:val="24"/>
                <w:highlight w:val="none"/>
                <w:lang w:eastAsia="zh-CN"/>
              </w:rPr>
              <w:t>，</w:t>
            </w:r>
            <w:r>
              <w:rPr>
                <w:b w:val="0"/>
                <w:color w:val="auto"/>
                <w:sz w:val="24"/>
                <w:highlight w:val="none"/>
              </w:rPr>
              <w:t>具体见附图</w:t>
            </w:r>
            <w:r>
              <w:rPr>
                <w:rFonts w:hint="eastAsia"/>
                <w:snapToGrid w:val="0"/>
                <w:color w:val="auto"/>
                <w:sz w:val="24"/>
                <w:szCs w:val="24"/>
                <w:highlight w:val="none"/>
              </w:rPr>
              <w:t>。</w:t>
            </w:r>
          </w:p>
          <w:p>
            <w:pPr>
              <w:pStyle w:val="30"/>
              <w:keepNext w:val="0"/>
              <w:keepLines w:val="0"/>
              <w:pageBreakBefore w:val="0"/>
              <w:widowControl w:val="0"/>
              <w:kinsoku/>
              <w:wordWrap/>
              <w:overflowPunct/>
              <w:topLinePunct w:val="0"/>
              <w:autoSpaceDE/>
              <w:autoSpaceDN/>
              <w:bidi w:val="0"/>
              <w:spacing w:after="0" w:line="360" w:lineRule="auto"/>
              <w:ind w:left="0" w:leftChars="0" w:firstLine="480"/>
              <w:textAlignment w:val="auto"/>
              <w:rPr>
                <w:rFonts w:hint="default" w:ascii="Times New Roman" w:hAnsi="Times New Roman" w:eastAsia="宋体" w:cs="Times New Roman"/>
                <w:snapToGrid w:val="0"/>
                <w:color w:val="auto"/>
                <w:sz w:val="24"/>
                <w:szCs w:val="24"/>
                <w:highlight w:val="none"/>
                <w:lang w:val="en-US" w:eastAsia="zh-CN"/>
              </w:rPr>
            </w:pPr>
            <w:r>
              <w:rPr>
                <w:rFonts w:hint="eastAsia"/>
                <w:snapToGrid w:val="0"/>
                <w:color w:val="auto"/>
                <w:sz w:val="24"/>
                <w:szCs w:val="24"/>
                <w:highlight w:val="none"/>
              </w:rPr>
              <w:t>（5）建设</w:t>
            </w:r>
            <w:r>
              <w:rPr>
                <w:rFonts w:hint="eastAsia" w:ascii="Times New Roman" w:hAnsi="Times New Roman" w:eastAsia="宋体" w:cs="Times New Roman"/>
                <w:snapToGrid w:val="0"/>
                <w:color w:val="auto"/>
                <w:sz w:val="24"/>
                <w:szCs w:val="24"/>
                <w:highlight w:val="none"/>
              </w:rPr>
              <w:t>内容：</w:t>
            </w:r>
            <w:r>
              <w:rPr>
                <w:rFonts w:hint="eastAsia" w:ascii="Times New Roman" w:hAnsi="Times New Roman" w:eastAsia="宋体" w:cs="Times New Roman"/>
                <w:snapToGrid w:val="0"/>
                <w:color w:val="auto"/>
                <w:sz w:val="24"/>
                <w:szCs w:val="24"/>
                <w:highlight w:val="none"/>
                <w:lang w:val="en-US" w:eastAsia="zh-CN"/>
              </w:rPr>
              <w:t>根据市场需求，企业利用现有厂房场地，购置主要生产设备共16台套（包括数控加工中心、龙门刨铣床、螺杆空压机等），投资350万元建设本项目，本项目建设完成后年加工轮毂及铝制品10000件，年产加工后的钢板500t。</w:t>
            </w:r>
          </w:p>
          <w:p>
            <w:pPr>
              <w:pStyle w:val="30"/>
              <w:keepNext w:val="0"/>
              <w:keepLines w:val="0"/>
              <w:pageBreakBefore w:val="0"/>
              <w:widowControl w:val="0"/>
              <w:kinsoku/>
              <w:wordWrap/>
              <w:overflowPunct/>
              <w:topLinePunct w:val="0"/>
              <w:autoSpaceDE/>
              <w:autoSpaceDN/>
              <w:bidi w:val="0"/>
              <w:spacing w:after="0" w:line="360" w:lineRule="auto"/>
              <w:ind w:left="0" w:leftChars="0" w:firstLine="480"/>
              <w:textAlignment w:val="auto"/>
              <w:rPr>
                <w:rFonts w:hint="eastAsia"/>
                <w:snapToGrid w:val="0"/>
                <w:color w:val="auto"/>
                <w:sz w:val="24"/>
                <w:szCs w:val="24"/>
                <w:highlight w:val="none"/>
              </w:rPr>
            </w:pPr>
            <w:r>
              <w:rPr>
                <w:rFonts w:hint="eastAsia"/>
                <w:snapToGrid w:val="0"/>
                <w:color w:val="auto"/>
                <w:sz w:val="24"/>
                <w:szCs w:val="24"/>
                <w:highlight w:val="none"/>
                <w:lang w:val="en-US" w:eastAsia="zh-CN"/>
              </w:rPr>
              <w:t>（6）</w:t>
            </w:r>
            <w:r>
              <w:rPr>
                <w:rFonts w:hint="eastAsia"/>
                <w:snapToGrid w:val="0"/>
                <w:color w:val="auto"/>
                <w:sz w:val="24"/>
                <w:szCs w:val="24"/>
                <w:highlight w:val="none"/>
              </w:rPr>
              <w:t>劳动定员及工作制度：</w:t>
            </w:r>
            <w:r>
              <w:rPr>
                <w:color w:val="auto"/>
                <w:highlight w:val="none"/>
              </w:rPr>
              <w:t>本</w:t>
            </w:r>
            <w:r>
              <w:rPr>
                <w:rFonts w:hint="eastAsia" w:ascii="Times New Roman" w:hAnsi="Times New Roman" w:eastAsia="宋体" w:cs="Times New Roman"/>
                <w:color w:val="auto"/>
                <w:highlight w:val="none"/>
              </w:rPr>
              <w:t>项目</w:t>
            </w:r>
            <w:r>
              <w:rPr>
                <w:rFonts w:hint="eastAsia" w:ascii="Times New Roman" w:hAnsi="Times New Roman" w:eastAsia="宋体" w:cs="Times New Roman"/>
                <w:color w:val="auto"/>
                <w:highlight w:val="none"/>
                <w:lang w:val="en-US" w:eastAsia="zh-CN"/>
              </w:rPr>
              <w:t>依托现有员工，</w:t>
            </w:r>
            <w:r>
              <w:rPr>
                <w:rFonts w:hint="eastAsia" w:cs="Times New Roman"/>
                <w:color w:val="auto"/>
                <w:highlight w:val="none"/>
                <w:lang w:val="en-US" w:eastAsia="zh-CN"/>
              </w:rPr>
              <w:t>工作制度依旧为1班制</w:t>
            </w:r>
            <w:r>
              <w:rPr>
                <w:rFonts w:hint="eastAsia" w:ascii="Times New Roman" w:hAnsi="Times New Roman" w:eastAsia="宋体" w:cs="Times New Roman"/>
                <w:color w:val="auto"/>
                <w:highlight w:val="none"/>
                <w:lang w:val="en-US" w:eastAsia="zh-CN"/>
              </w:rPr>
              <w:t>（早六点到晚</w:t>
            </w:r>
            <w:r>
              <w:rPr>
                <w:rFonts w:hint="eastAsia" w:cs="Times New Roman"/>
                <w:color w:val="auto"/>
                <w:highlight w:val="none"/>
                <w:lang w:val="en-US" w:eastAsia="zh-CN"/>
              </w:rPr>
              <w:t>十</w:t>
            </w:r>
            <w:r>
              <w:rPr>
                <w:rFonts w:hint="eastAsia" w:ascii="Times New Roman" w:hAnsi="Times New Roman" w:eastAsia="宋体" w:cs="Times New Roman"/>
                <w:color w:val="auto"/>
                <w:highlight w:val="none"/>
                <w:lang w:val="en-US" w:eastAsia="zh-CN"/>
              </w:rPr>
              <w:t>点）</w:t>
            </w:r>
            <w:r>
              <w:rPr>
                <w:rFonts w:hint="eastAsia"/>
                <w:color w:val="auto"/>
                <w:highlight w:val="none"/>
              </w:rPr>
              <w:t>，年工作</w:t>
            </w:r>
            <w:r>
              <w:rPr>
                <w:rFonts w:hint="eastAsia"/>
                <w:color w:val="auto"/>
                <w:highlight w:val="none"/>
                <w:lang w:val="en-US" w:eastAsia="zh-CN"/>
              </w:rPr>
              <w:t>250</w:t>
            </w:r>
            <w:r>
              <w:rPr>
                <w:rFonts w:hint="eastAsia"/>
                <w:color w:val="auto"/>
                <w:highlight w:val="none"/>
              </w:rPr>
              <w:t>天</w:t>
            </w:r>
            <w:r>
              <w:rPr>
                <w:rFonts w:hint="eastAsia"/>
                <w:snapToGrid w:val="0"/>
                <w:color w:val="auto"/>
                <w:sz w:val="24"/>
                <w:szCs w:val="24"/>
                <w:highlight w:val="none"/>
              </w:rPr>
              <w:t>。</w:t>
            </w:r>
          </w:p>
          <w:p>
            <w:pPr>
              <w:pStyle w:val="8"/>
              <w:spacing w:before="0" w:after="0" w:line="360" w:lineRule="auto"/>
              <w:ind w:firstLine="0" w:firstLineChars="0"/>
              <w:jc w:val="left"/>
              <w:rPr>
                <w:rFonts w:hint="eastAsia" w:ascii="Times New Roman" w:hAnsi="Times New Roman" w:eastAsia="宋体" w:cs="Times New Roman"/>
                <w:bCs w:val="0"/>
                <w:color w:val="auto"/>
                <w:kern w:val="2"/>
                <w:sz w:val="24"/>
                <w:szCs w:val="21"/>
                <w:highlight w:val="none"/>
              </w:rPr>
            </w:pPr>
            <w:r>
              <w:rPr>
                <w:rFonts w:hint="eastAsia" w:ascii="Times New Roman" w:hAnsi="Times New Roman" w:eastAsia="宋体" w:cs="Times New Roman"/>
                <w:bCs w:val="0"/>
                <w:color w:val="auto"/>
                <w:kern w:val="2"/>
                <w:sz w:val="24"/>
                <w:szCs w:val="21"/>
                <w:highlight w:val="none"/>
              </w:rPr>
              <w:t>3.2</w:t>
            </w:r>
            <w:r>
              <w:rPr>
                <w:rFonts w:hint="eastAsia" w:ascii="Times New Roman" w:hAnsi="Times New Roman" w:eastAsia="宋体" w:cs="Times New Roman"/>
                <w:bCs w:val="0"/>
                <w:color w:val="auto"/>
                <w:kern w:val="2"/>
                <w:sz w:val="24"/>
                <w:szCs w:val="21"/>
                <w:highlight w:val="none"/>
                <w:lang w:eastAsia="zh-CN"/>
              </w:rPr>
              <w:t>、</w:t>
            </w:r>
            <w:r>
              <w:rPr>
                <w:rFonts w:hint="eastAsia" w:ascii="Times New Roman" w:hAnsi="Times New Roman" w:eastAsia="宋体" w:cs="Times New Roman"/>
                <w:bCs w:val="0"/>
                <w:color w:val="auto"/>
                <w:kern w:val="2"/>
                <w:sz w:val="24"/>
                <w:szCs w:val="21"/>
                <w:highlight w:val="none"/>
              </w:rPr>
              <w:t>工程规模及工程内容</w:t>
            </w:r>
          </w:p>
          <w:p>
            <w:pPr>
              <w:ind w:firstLine="480" w:firstLineChars="200"/>
              <w:rPr>
                <w:color w:val="auto"/>
                <w:highlight w:val="none"/>
              </w:rPr>
            </w:pPr>
            <w:r>
              <w:rPr>
                <w:rFonts w:hint="eastAsia"/>
                <w:color w:val="auto"/>
                <w:highlight w:val="none"/>
              </w:rPr>
              <w:t>项目组成见下表：</w:t>
            </w:r>
          </w:p>
          <w:p>
            <w:pPr>
              <w:pStyle w:val="45"/>
              <w:ind w:left="482" w:hanging="482"/>
              <w:rPr>
                <w:rFonts w:hint="eastAsia"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rPr>
              <w:t>表</w:t>
            </w:r>
            <w:r>
              <w:rPr>
                <w:rFonts w:hint="eastAsia" w:ascii="Times New Roman" w:hAnsi="Times New Roman" w:eastAsia="宋体" w:cs="Times New Roman"/>
                <w:color w:val="auto"/>
                <w:sz w:val="24"/>
                <w:szCs w:val="24"/>
                <w:highlight w:val="none"/>
                <w:lang w:val="en-US" w:eastAsia="zh-CN"/>
              </w:rPr>
              <w:t>2-</w:t>
            </w:r>
            <w:r>
              <w:rPr>
                <w:rFonts w:hint="eastAsia" w:cs="Times New Roman"/>
                <w:color w:val="auto"/>
                <w:sz w:val="24"/>
                <w:szCs w:val="24"/>
                <w:highlight w:val="none"/>
                <w:lang w:val="en-US" w:eastAsia="zh-CN"/>
              </w:rPr>
              <w:t>4</w:t>
            </w:r>
            <w:r>
              <w:rPr>
                <w:rFonts w:hint="eastAsia" w:ascii="Times New Roman" w:hAnsi="Times New Roman" w:eastAsia="宋体" w:cs="Times New Roman"/>
                <w:color w:val="auto"/>
                <w:sz w:val="24"/>
                <w:szCs w:val="24"/>
                <w:highlight w:val="none"/>
              </w:rPr>
              <w:t xml:space="preserve">  项目组成一览表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466"/>
              <w:gridCol w:w="1210"/>
              <w:gridCol w:w="4402"/>
              <w:gridCol w:w="14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工程分类</w:t>
                  </w:r>
                </w:p>
              </w:tc>
              <w:tc>
                <w:tcPr>
                  <w:tcW w:w="1676"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项目名称</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扩建内容</w:t>
                  </w:r>
                </w:p>
              </w:tc>
              <w:tc>
                <w:tcPr>
                  <w:tcW w:w="141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主体工程</w:t>
                  </w:r>
                </w:p>
              </w:tc>
              <w:tc>
                <w:tcPr>
                  <w:tcW w:w="1676"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生产车间</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新增4台龙门刨</w:t>
                  </w:r>
                  <w:r>
                    <w:rPr>
                      <w:rFonts w:hint="eastAsia" w:ascii="Times New Roman" w:hAnsi="Times New Roman" w:cs="Times New Roman"/>
                      <w:color w:val="auto"/>
                      <w:highlight w:val="none"/>
                      <w:lang w:val="en-US" w:eastAsia="zh-CN"/>
                    </w:rPr>
                    <w:t>铣</w:t>
                  </w:r>
                  <w:r>
                    <w:rPr>
                      <w:rFonts w:hint="eastAsia" w:ascii="Times New Roman" w:hAnsi="Times New Roman" w:eastAsia="宋体" w:cs="Times New Roman"/>
                      <w:color w:val="auto"/>
                      <w:highlight w:val="none"/>
                      <w:lang w:val="en-US" w:eastAsia="zh-CN"/>
                    </w:rPr>
                    <w:t>床</w:t>
                  </w:r>
                </w:p>
              </w:tc>
              <w:tc>
                <w:tcPr>
                  <w:tcW w:w="1414"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依托原有车间，新增设备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676"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模具</w:t>
                  </w:r>
                  <w:r>
                    <w:rPr>
                      <w:rFonts w:hint="eastAsia" w:ascii="Times New Roman" w:hAnsi="Times New Roman" w:eastAsia="宋体" w:cs="Times New Roman"/>
                      <w:color w:val="auto"/>
                      <w:highlight w:val="none"/>
                      <w:lang w:val="en-US" w:eastAsia="zh-CN"/>
                    </w:rPr>
                    <w:t>加工车间</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新增</w:t>
                  </w:r>
                  <w:r>
                    <w:rPr>
                      <w:rFonts w:hint="eastAsia" w:ascii="Times New Roman" w:hAnsi="Times New Roman" w:cs="Times New Roman"/>
                      <w:color w:val="auto"/>
                      <w:highlight w:val="none"/>
                      <w:lang w:val="en-US" w:eastAsia="zh-CN"/>
                    </w:rPr>
                    <w:t>10台</w:t>
                  </w:r>
                  <w:r>
                    <w:rPr>
                      <w:rFonts w:hint="eastAsia" w:ascii="Times New Roman" w:hAnsi="Times New Roman" w:eastAsia="宋体" w:cs="Times New Roman"/>
                      <w:color w:val="auto"/>
                      <w:highlight w:val="none"/>
                      <w:lang w:val="en-US" w:eastAsia="zh-CN"/>
                    </w:rPr>
                    <w:t>数控加工中心</w:t>
                  </w:r>
                  <w:r>
                    <w:rPr>
                      <w:rFonts w:hint="eastAsia" w:ascii="Times New Roman" w:hAnsi="Times New Roman" w:cs="Times New Roman"/>
                      <w:color w:val="auto"/>
                      <w:highlight w:val="none"/>
                      <w:lang w:val="en-US" w:eastAsia="zh-CN"/>
                    </w:rPr>
                    <w:t>，并在车间外东侧新增2台螺杆空压机</w:t>
                  </w:r>
                </w:p>
              </w:tc>
              <w:tc>
                <w:tcPr>
                  <w:tcW w:w="1414"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辅助工程</w:t>
                  </w:r>
                </w:p>
              </w:tc>
              <w:tc>
                <w:tcPr>
                  <w:tcW w:w="1676"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办公室</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建筑面积为481.08㎡工作人员办公</w:t>
                  </w:r>
                </w:p>
              </w:tc>
              <w:tc>
                <w:tcPr>
                  <w:tcW w:w="141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676"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highlight w:val="none"/>
                      <w:lang w:val="en-US" w:eastAsia="zh-CN"/>
                    </w:rPr>
                    <w:t>备品库</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建筑面积为400㎡，</w:t>
                  </w:r>
                  <w:r>
                    <w:rPr>
                      <w:rFonts w:hint="eastAsia" w:ascii="Times New Roman" w:hAnsi="Times New Roman" w:cs="Times New Roman"/>
                      <w:color w:val="auto"/>
                      <w:highlight w:val="none"/>
                      <w:lang w:val="en-US" w:eastAsia="zh-CN"/>
                    </w:rPr>
                    <w:t>存储其他物品</w:t>
                  </w:r>
                </w:p>
              </w:tc>
              <w:tc>
                <w:tcPr>
                  <w:tcW w:w="141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676"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库房</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建筑面积为100㎡在厂房内</w:t>
                  </w:r>
                </w:p>
              </w:tc>
              <w:tc>
                <w:tcPr>
                  <w:tcW w:w="141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公用工程</w:t>
                  </w:r>
                </w:p>
              </w:tc>
              <w:tc>
                <w:tcPr>
                  <w:tcW w:w="1676"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供水</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由</w:t>
                  </w:r>
                  <w:r>
                    <w:rPr>
                      <w:rFonts w:hint="eastAsia" w:ascii="Times New Roman" w:hAnsi="Times New Roman" w:eastAsia="宋体" w:cs="Times New Roman"/>
                      <w:color w:val="auto"/>
                      <w:highlight w:val="none"/>
                      <w:lang w:val="en-US" w:eastAsia="zh-CN"/>
                    </w:rPr>
                    <w:t>开发</w:t>
                  </w:r>
                  <w:r>
                    <w:rPr>
                      <w:rFonts w:hint="default" w:ascii="Times New Roman" w:hAnsi="Times New Roman" w:eastAsia="宋体" w:cs="Times New Roman"/>
                      <w:color w:val="auto"/>
                      <w:highlight w:val="none"/>
                      <w:lang w:val="en-US" w:eastAsia="zh-CN"/>
                    </w:rPr>
                    <w:t>区</w:t>
                  </w:r>
                  <w:r>
                    <w:rPr>
                      <w:rFonts w:hint="eastAsia" w:ascii="Times New Roman" w:hAnsi="Times New Roman" w:eastAsia="宋体" w:cs="Times New Roman"/>
                      <w:color w:val="auto"/>
                      <w:highlight w:val="none"/>
                      <w:lang w:val="en-US" w:eastAsia="zh-CN"/>
                    </w:rPr>
                    <w:t>供水公司</w:t>
                  </w:r>
                  <w:r>
                    <w:rPr>
                      <w:rFonts w:hint="default" w:ascii="Times New Roman" w:hAnsi="Times New Roman" w:eastAsia="宋体" w:cs="Times New Roman"/>
                      <w:color w:val="auto"/>
                      <w:highlight w:val="none"/>
                      <w:lang w:val="en-US" w:eastAsia="zh-CN"/>
                    </w:rPr>
                    <w:t>提供</w:t>
                  </w:r>
                </w:p>
              </w:tc>
              <w:tc>
                <w:tcPr>
                  <w:tcW w:w="1414"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676"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排水</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项目生产用水不外排，生活污水由化粪池处理后经市政管网排入秦皇岛第三污水处理厂</w:t>
                  </w:r>
                </w:p>
              </w:tc>
              <w:tc>
                <w:tcPr>
                  <w:tcW w:w="1414"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676"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供电</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由</w:t>
                  </w:r>
                  <w:r>
                    <w:rPr>
                      <w:rFonts w:hint="eastAsia" w:ascii="Times New Roman" w:hAnsi="Times New Roman" w:eastAsia="宋体" w:cs="Times New Roman"/>
                      <w:color w:val="auto"/>
                      <w:highlight w:val="none"/>
                      <w:lang w:val="en-US" w:eastAsia="zh-CN"/>
                    </w:rPr>
                    <w:t>开发</w:t>
                  </w:r>
                  <w:r>
                    <w:rPr>
                      <w:rFonts w:hint="default" w:ascii="Times New Roman" w:hAnsi="Times New Roman" w:eastAsia="宋体" w:cs="Times New Roman"/>
                      <w:color w:val="auto"/>
                      <w:highlight w:val="none"/>
                      <w:lang w:val="en-US" w:eastAsia="zh-CN"/>
                    </w:rPr>
                    <w:t>区电力公司供电</w:t>
                  </w:r>
                </w:p>
              </w:tc>
              <w:tc>
                <w:tcPr>
                  <w:tcW w:w="1414"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676" w:type="dxa"/>
                  <w:gridSpan w:val="2"/>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供热</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本项目模具成型加热使用电加热棒加热，冬季办公室采取空调供暖。</w:t>
                  </w:r>
                </w:p>
              </w:tc>
              <w:tc>
                <w:tcPr>
                  <w:tcW w:w="1414"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环保工程</w:t>
                  </w:r>
                </w:p>
              </w:tc>
              <w:tc>
                <w:tcPr>
                  <w:tcW w:w="466"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废气</w:t>
                  </w:r>
                </w:p>
              </w:tc>
              <w:tc>
                <w:tcPr>
                  <w:tcW w:w="1210"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打磨颗粒物</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1台布袋除尘器+15m排气筒</w:t>
                  </w:r>
                </w:p>
              </w:tc>
              <w:tc>
                <w:tcPr>
                  <w:tcW w:w="1414"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不变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46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210"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脱模废气</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两级活性炭</w:t>
                  </w:r>
                  <w:r>
                    <w:rPr>
                      <w:rFonts w:hint="eastAsia" w:ascii="Times New Roman" w:hAnsi="Times New Roman" w:eastAsia="宋体" w:cs="Times New Roman"/>
                      <w:color w:val="auto"/>
                      <w:highlight w:val="none"/>
                      <w:lang w:val="en-US" w:eastAsia="zh-CN"/>
                    </w:rPr>
                    <w:t>+15米排气筒</w:t>
                  </w:r>
                </w:p>
              </w:tc>
              <w:tc>
                <w:tcPr>
                  <w:tcW w:w="1414"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466"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噪声</w:t>
                  </w:r>
                </w:p>
              </w:tc>
              <w:tc>
                <w:tcPr>
                  <w:tcW w:w="1210"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设备噪声</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工程选取低噪声设备，厂房隔声措施厂房东侧增加一层隔声材料，生产期间车间大门关闭</w:t>
                  </w:r>
                </w:p>
              </w:tc>
              <w:tc>
                <w:tcPr>
                  <w:tcW w:w="141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466"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一般固废</w:t>
                  </w:r>
                </w:p>
              </w:tc>
              <w:tc>
                <w:tcPr>
                  <w:tcW w:w="1210"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金属屑</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统一收集、全部外售</w:t>
                  </w:r>
                </w:p>
              </w:tc>
              <w:tc>
                <w:tcPr>
                  <w:tcW w:w="1414"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不变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46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210"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废包装袋、废植物油瓶</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统一收集、全部外售</w:t>
                  </w:r>
                </w:p>
              </w:tc>
              <w:tc>
                <w:tcPr>
                  <w:tcW w:w="1414"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46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210"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废边角料</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统一收集、全部外售</w:t>
                  </w:r>
                </w:p>
              </w:tc>
              <w:tc>
                <w:tcPr>
                  <w:tcW w:w="141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新增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46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210"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生活垃圾</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统一收集后交由环卫部门统一处理</w:t>
                  </w:r>
                </w:p>
              </w:tc>
              <w:tc>
                <w:tcPr>
                  <w:tcW w:w="1414"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不变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466" w:type="dxa"/>
                  <w:vMerge w:val="restart"/>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危险废物</w:t>
                  </w:r>
                </w:p>
              </w:tc>
              <w:tc>
                <w:tcPr>
                  <w:tcW w:w="1210"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废涂料桶、废活性炭、</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存于危废间内，</w:t>
                  </w:r>
                  <w:r>
                    <w:rPr>
                      <w:rFonts w:hint="eastAsia" w:ascii="Times New Roman" w:hAnsi="Times New Roman" w:eastAsia="宋体" w:cs="Times New Roman"/>
                      <w:color w:val="auto"/>
                      <w:highlight w:val="none"/>
                      <w:lang w:val="en-US" w:eastAsia="zh-CN"/>
                    </w:rPr>
                    <w:t>交由</w:t>
                  </w:r>
                  <w:r>
                    <w:rPr>
                      <w:rFonts w:hint="eastAsia" w:ascii="Times New Roman" w:hAnsi="Times New Roman" w:cs="Times New Roman"/>
                      <w:color w:val="auto"/>
                      <w:highlight w:val="none"/>
                      <w:lang w:val="en-US" w:eastAsia="zh-CN"/>
                    </w:rPr>
                    <w:t>有资质单位定期运输并处置</w:t>
                  </w:r>
                </w:p>
              </w:tc>
              <w:tc>
                <w:tcPr>
                  <w:tcW w:w="1414"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cs="Times New Roman"/>
                      <w:color w:val="auto"/>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46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210"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废导轨油桶、废切削液桶</w:t>
                  </w:r>
                  <w:r>
                    <w:rPr>
                      <w:rFonts w:hint="eastAsia" w:ascii="Times New Roman" w:hAnsi="Times New Roman" w:cs="Times New Roman"/>
                      <w:color w:val="auto"/>
                      <w:highlight w:val="none"/>
                      <w:lang w:val="en-US" w:eastAsia="zh-CN"/>
                    </w:rPr>
                    <w:t>、废切削液</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存于原有危废间内，由有资质单位定期运输并处置</w:t>
                  </w:r>
                </w:p>
              </w:tc>
              <w:tc>
                <w:tcPr>
                  <w:tcW w:w="141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新增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466" w:type="dxa"/>
                  <w:vMerge w:val="continue"/>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210"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废含切削液金属屑</w:t>
                  </w:r>
                </w:p>
              </w:tc>
              <w:tc>
                <w:tcPr>
                  <w:tcW w:w="4402"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在危废间内进行沥干，切削液回用于生产，金属屑变成静置后无滴</w:t>
                  </w:r>
                  <w:r>
                    <w:rPr>
                      <w:rFonts w:hint="eastAsia" w:ascii="Times New Roman" w:hAnsi="Times New Roman" w:eastAsia="宋体" w:cs="Times New Roman"/>
                      <w:color w:val="auto"/>
                      <w:highlight w:val="none"/>
                      <w:lang w:val="en-US" w:eastAsia="zh-CN"/>
                    </w:rPr>
                    <w:t>漏状态后，存放于危废间内，由相应有能力利用厂家综合利用</w:t>
                  </w:r>
                </w:p>
              </w:tc>
              <w:tc>
                <w:tcPr>
                  <w:tcW w:w="1414" w:type="dxa"/>
                  <w:tcBorders>
                    <w:tl2br w:val="nil"/>
                    <w:tr2bl w:val="nil"/>
                  </w:tcBorders>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新增</w:t>
                  </w:r>
                </w:p>
              </w:tc>
            </w:tr>
          </w:tbl>
          <w:p>
            <w:pPr>
              <w:pStyle w:val="8"/>
              <w:spacing w:before="0" w:after="0" w:line="360" w:lineRule="auto"/>
              <w:ind w:firstLine="0" w:firstLineChars="0"/>
              <w:jc w:val="left"/>
              <w:rPr>
                <w:rFonts w:hint="eastAsia" w:ascii="Times New Roman" w:hAnsi="Times New Roman" w:eastAsia="宋体" w:cs="Times New Roman"/>
                <w:bCs w:val="0"/>
                <w:color w:val="auto"/>
                <w:kern w:val="2"/>
                <w:sz w:val="24"/>
                <w:szCs w:val="21"/>
                <w:highlight w:val="none"/>
              </w:rPr>
            </w:pPr>
            <w:r>
              <w:rPr>
                <w:rFonts w:hint="eastAsia" w:ascii="Times New Roman" w:hAnsi="Times New Roman" w:eastAsia="宋体" w:cs="Times New Roman"/>
                <w:bCs w:val="0"/>
                <w:color w:val="auto"/>
                <w:kern w:val="2"/>
                <w:sz w:val="24"/>
                <w:szCs w:val="21"/>
                <w:highlight w:val="none"/>
              </w:rPr>
              <w:t>3.3</w:t>
            </w:r>
            <w:r>
              <w:rPr>
                <w:rFonts w:hint="eastAsia" w:ascii="Times New Roman" w:hAnsi="Times New Roman" w:eastAsia="宋体" w:cs="Times New Roman"/>
                <w:bCs w:val="0"/>
                <w:color w:val="auto"/>
                <w:kern w:val="2"/>
                <w:sz w:val="24"/>
                <w:szCs w:val="21"/>
                <w:highlight w:val="none"/>
                <w:lang w:eastAsia="zh-CN"/>
              </w:rPr>
              <w:t>、</w:t>
            </w:r>
            <w:r>
              <w:rPr>
                <w:rFonts w:hint="eastAsia" w:ascii="Times New Roman" w:hAnsi="Times New Roman" w:eastAsia="宋体" w:cs="Times New Roman"/>
                <w:bCs w:val="0"/>
                <w:color w:val="auto"/>
                <w:kern w:val="2"/>
                <w:sz w:val="24"/>
                <w:szCs w:val="21"/>
                <w:highlight w:val="none"/>
              </w:rPr>
              <w:t>主要生产设备</w:t>
            </w:r>
          </w:p>
          <w:p>
            <w:pPr>
              <w:ind w:firstLine="480" w:firstLineChars="200"/>
              <w:rPr>
                <w:color w:val="auto"/>
                <w:highlight w:val="none"/>
              </w:rPr>
            </w:pPr>
            <w:r>
              <w:rPr>
                <w:color w:val="auto"/>
                <w:highlight w:val="none"/>
              </w:rPr>
              <w:t>本次项目</w:t>
            </w:r>
            <w:r>
              <w:rPr>
                <w:rFonts w:hint="eastAsia"/>
                <w:color w:val="auto"/>
                <w:highlight w:val="none"/>
              </w:rPr>
              <w:t>新增设备</w:t>
            </w:r>
            <w:r>
              <w:rPr>
                <w:color w:val="auto"/>
                <w:highlight w:val="none"/>
              </w:rPr>
              <w:t>如下表：</w:t>
            </w:r>
          </w:p>
          <w:p>
            <w:pPr>
              <w:pStyle w:val="45"/>
              <w:ind w:left="482" w:hanging="482"/>
              <w:rPr>
                <w:rFonts w:hint="eastAsia"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rPr>
              <w:t>表</w:t>
            </w:r>
            <w:r>
              <w:rPr>
                <w:rFonts w:hint="eastAsia" w:ascii="Times New Roman" w:hAnsi="Times New Roman" w:eastAsia="宋体" w:cs="Times New Roman"/>
                <w:color w:val="auto"/>
                <w:sz w:val="24"/>
                <w:szCs w:val="24"/>
                <w:highlight w:val="none"/>
                <w:lang w:val="en-US" w:eastAsia="zh-CN"/>
              </w:rPr>
              <w:t>2-</w:t>
            </w:r>
            <w:r>
              <w:rPr>
                <w:rFonts w:hint="eastAsia" w:cs="Times New Roman"/>
                <w:color w:val="auto"/>
                <w:sz w:val="24"/>
                <w:szCs w:val="24"/>
                <w:highlight w:val="none"/>
                <w:lang w:val="en-US" w:eastAsia="zh-CN"/>
              </w:rPr>
              <w:t>5</w:t>
            </w:r>
            <w:r>
              <w:rPr>
                <w:rFonts w:hint="eastAsia" w:ascii="Times New Roman" w:hAnsi="Times New Roman" w:eastAsia="宋体" w:cs="Times New Roman"/>
                <w:color w:val="auto"/>
                <w:sz w:val="24"/>
                <w:szCs w:val="24"/>
                <w:highlight w:val="none"/>
              </w:rPr>
              <w:t xml:space="preserve">  </w:t>
            </w:r>
            <w:r>
              <w:rPr>
                <w:rFonts w:hint="eastAsia" w:ascii="Times New Roman" w:hAnsi="Times New Roman" w:eastAsia="宋体" w:cs="Times New Roman"/>
                <w:color w:val="auto"/>
                <w:sz w:val="24"/>
                <w:szCs w:val="24"/>
                <w:highlight w:val="none"/>
                <w:lang w:val="en-US" w:eastAsia="zh-CN"/>
              </w:rPr>
              <w:t>新增</w:t>
            </w:r>
            <w:r>
              <w:rPr>
                <w:rFonts w:hint="eastAsia" w:ascii="Times New Roman" w:hAnsi="Times New Roman" w:eastAsia="宋体" w:cs="Times New Roman"/>
                <w:color w:val="auto"/>
                <w:sz w:val="24"/>
                <w:szCs w:val="24"/>
                <w:highlight w:val="none"/>
              </w:rPr>
              <w:t>设备一览表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25"/>
              <w:gridCol w:w="1915"/>
              <w:gridCol w:w="1997"/>
              <w:gridCol w:w="34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925"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序号</w:t>
                  </w:r>
                </w:p>
              </w:tc>
              <w:tc>
                <w:tcPr>
                  <w:tcW w:w="1915"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名称</w:t>
                  </w:r>
                </w:p>
              </w:tc>
              <w:tc>
                <w:tcPr>
                  <w:tcW w:w="1997"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数量（台）</w:t>
                  </w:r>
                </w:p>
              </w:tc>
              <w:tc>
                <w:tcPr>
                  <w:tcW w:w="3481"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925"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w:t>
                  </w:r>
                </w:p>
              </w:tc>
              <w:tc>
                <w:tcPr>
                  <w:tcW w:w="1915"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 xml:space="preserve"> 数控加工中心</w:t>
                  </w:r>
                </w:p>
              </w:tc>
              <w:tc>
                <w:tcPr>
                  <w:tcW w:w="1997"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w:t>
                  </w:r>
                </w:p>
              </w:tc>
              <w:tc>
                <w:tcPr>
                  <w:tcW w:w="3481"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轮毂</w:t>
                  </w:r>
                  <w:r>
                    <w:rPr>
                      <w:rFonts w:hint="eastAsia" w:cs="Times New Roman"/>
                      <w:color w:val="auto"/>
                      <w:kern w:val="0"/>
                      <w:sz w:val="21"/>
                      <w:szCs w:val="21"/>
                      <w:highlight w:val="none"/>
                      <w:lang w:val="en-US" w:eastAsia="zh-CN" w:bidi="ar-SA"/>
                    </w:rPr>
                    <w:t>及铝制品</w:t>
                  </w:r>
                  <w:r>
                    <w:rPr>
                      <w:rFonts w:hint="eastAsia" w:ascii="Times New Roman" w:hAnsi="Times New Roman" w:eastAsia="宋体" w:cs="Times New Roman"/>
                      <w:color w:val="auto"/>
                      <w:highlight w:val="none"/>
                      <w:lang w:val="en-US" w:eastAsia="zh-CN"/>
                    </w:rPr>
                    <w:t>加工，新增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925"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w:t>
                  </w:r>
                </w:p>
              </w:tc>
              <w:tc>
                <w:tcPr>
                  <w:tcW w:w="1915"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龙门刨</w:t>
                  </w:r>
                  <w:r>
                    <w:rPr>
                      <w:rFonts w:hint="eastAsia" w:ascii="Times New Roman" w:hAnsi="Times New Roman" w:cs="Times New Roman"/>
                      <w:color w:val="auto"/>
                      <w:highlight w:val="none"/>
                      <w:lang w:val="en-US" w:eastAsia="zh-CN"/>
                    </w:rPr>
                    <w:t>铣</w:t>
                  </w:r>
                  <w:r>
                    <w:rPr>
                      <w:rFonts w:hint="eastAsia" w:ascii="Times New Roman" w:hAnsi="Times New Roman" w:eastAsia="宋体" w:cs="Times New Roman"/>
                      <w:color w:val="auto"/>
                      <w:highlight w:val="none"/>
                      <w:lang w:val="en-US" w:eastAsia="zh-CN"/>
                    </w:rPr>
                    <w:t>床</w:t>
                  </w:r>
                </w:p>
              </w:tc>
              <w:tc>
                <w:tcPr>
                  <w:tcW w:w="1997"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w:t>
                  </w:r>
                </w:p>
              </w:tc>
              <w:tc>
                <w:tcPr>
                  <w:tcW w:w="3481"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加工</w:t>
                  </w:r>
                  <w:r>
                    <w:rPr>
                      <w:rFonts w:hint="eastAsia" w:ascii="Times New Roman" w:hAnsi="Times New Roman" w:eastAsia="宋体" w:cs="Times New Roman"/>
                      <w:color w:val="auto"/>
                      <w:highlight w:val="none"/>
                      <w:lang w:val="en-US" w:eastAsia="zh-CN"/>
                    </w:rPr>
                    <w:t>钢板，新增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925"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3</w:t>
                  </w:r>
                </w:p>
              </w:tc>
              <w:tc>
                <w:tcPr>
                  <w:tcW w:w="1915"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螺杆空压机</w:t>
                  </w:r>
                </w:p>
              </w:tc>
              <w:tc>
                <w:tcPr>
                  <w:tcW w:w="1997"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w:t>
                  </w:r>
                </w:p>
              </w:tc>
              <w:tc>
                <w:tcPr>
                  <w:tcW w:w="3481"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新增，辅助设备，冷却方式为风冷</w:t>
                  </w:r>
                </w:p>
              </w:tc>
            </w:tr>
          </w:tbl>
          <w:p>
            <w:pPr>
              <w:pStyle w:val="8"/>
              <w:spacing w:before="0" w:after="0" w:line="360" w:lineRule="auto"/>
              <w:ind w:firstLine="0" w:firstLineChars="0"/>
              <w:jc w:val="left"/>
              <w:rPr>
                <w:rFonts w:hint="eastAsia" w:ascii="Times New Roman" w:hAnsi="Times New Roman" w:eastAsia="宋体" w:cs="Times New Roman"/>
                <w:bCs w:val="0"/>
                <w:color w:val="auto"/>
                <w:kern w:val="2"/>
                <w:sz w:val="24"/>
                <w:szCs w:val="21"/>
                <w:highlight w:val="none"/>
              </w:rPr>
            </w:pPr>
            <w:r>
              <w:rPr>
                <w:rFonts w:hint="eastAsia" w:ascii="Times New Roman" w:hAnsi="Times New Roman" w:eastAsia="宋体" w:cs="Times New Roman"/>
                <w:bCs w:val="0"/>
                <w:color w:val="auto"/>
                <w:kern w:val="2"/>
                <w:sz w:val="24"/>
                <w:szCs w:val="21"/>
                <w:highlight w:val="none"/>
              </w:rPr>
              <w:t>3.4</w:t>
            </w:r>
            <w:r>
              <w:rPr>
                <w:rFonts w:hint="eastAsia" w:ascii="Times New Roman" w:hAnsi="Times New Roman" w:eastAsia="宋体" w:cs="Times New Roman"/>
                <w:bCs w:val="0"/>
                <w:color w:val="auto"/>
                <w:kern w:val="2"/>
                <w:sz w:val="24"/>
                <w:szCs w:val="21"/>
                <w:highlight w:val="none"/>
                <w:lang w:eastAsia="zh-CN"/>
              </w:rPr>
              <w:t>、</w:t>
            </w:r>
            <w:r>
              <w:rPr>
                <w:rFonts w:hint="eastAsia" w:ascii="Times New Roman" w:hAnsi="Times New Roman" w:eastAsia="宋体" w:cs="Times New Roman"/>
                <w:bCs w:val="0"/>
                <w:color w:val="auto"/>
                <w:kern w:val="2"/>
                <w:sz w:val="24"/>
                <w:szCs w:val="21"/>
                <w:highlight w:val="none"/>
              </w:rPr>
              <w:t>主要原辅材料</w:t>
            </w:r>
            <w:r>
              <w:rPr>
                <w:rFonts w:hint="eastAsia" w:ascii="Times New Roman" w:hAnsi="Times New Roman" w:eastAsia="宋体" w:cs="Times New Roman"/>
                <w:bCs w:val="0"/>
                <w:color w:val="auto"/>
                <w:kern w:val="2"/>
                <w:sz w:val="24"/>
                <w:szCs w:val="21"/>
                <w:highlight w:val="none"/>
                <w:lang w:eastAsia="zh-CN"/>
              </w:rPr>
              <w:t>、</w:t>
            </w:r>
            <w:r>
              <w:rPr>
                <w:rFonts w:hint="eastAsia" w:ascii="Times New Roman" w:hAnsi="Times New Roman" w:eastAsia="宋体" w:cs="Times New Roman"/>
                <w:bCs w:val="0"/>
                <w:color w:val="auto"/>
                <w:kern w:val="2"/>
                <w:sz w:val="24"/>
                <w:szCs w:val="21"/>
                <w:highlight w:val="none"/>
                <w:lang w:val="en-US" w:eastAsia="zh-CN"/>
              </w:rPr>
              <w:t>能源</w:t>
            </w:r>
            <w:r>
              <w:rPr>
                <w:rFonts w:hint="eastAsia" w:ascii="Times New Roman" w:hAnsi="Times New Roman" w:eastAsia="宋体" w:cs="Times New Roman"/>
                <w:bCs w:val="0"/>
                <w:color w:val="auto"/>
                <w:kern w:val="2"/>
                <w:sz w:val="24"/>
                <w:szCs w:val="21"/>
                <w:highlight w:val="none"/>
              </w:rPr>
              <w:t>消耗</w:t>
            </w:r>
          </w:p>
          <w:p>
            <w:pPr>
              <w:ind w:firstLine="480" w:firstLineChars="200"/>
              <w:rPr>
                <w:rFonts w:hint="default"/>
                <w:color w:val="auto"/>
                <w:highlight w:val="none"/>
                <w:lang w:val="en-US" w:eastAsia="zh-CN"/>
              </w:rPr>
            </w:pPr>
            <w:r>
              <w:rPr>
                <w:rFonts w:hint="eastAsia"/>
                <w:color w:val="auto"/>
                <w:highlight w:val="none"/>
                <w:lang w:val="en-US" w:eastAsia="zh-CN"/>
              </w:rPr>
              <w:t>本项目为扩建项目，本项目新增的</w:t>
            </w:r>
            <w:r>
              <w:rPr>
                <w:rFonts w:hint="eastAsia" w:ascii="Times New Roman" w:hAnsi="Times New Roman" w:eastAsia="宋体" w:cs="Times New Roman"/>
                <w:bCs w:val="0"/>
                <w:color w:val="auto"/>
                <w:kern w:val="2"/>
                <w:sz w:val="24"/>
                <w:szCs w:val="21"/>
                <w:highlight w:val="none"/>
              </w:rPr>
              <w:t>原辅材料</w:t>
            </w:r>
            <w:r>
              <w:rPr>
                <w:rFonts w:hint="eastAsia" w:ascii="Times New Roman" w:hAnsi="Times New Roman" w:eastAsia="宋体" w:cs="Times New Roman"/>
                <w:bCs w:val="0"/>
                <w:color w:val="auto"/>
                <w:kern w:val="2"/>
                <w:sz w:val="24"/>
                <w:szCs w:val="21"/>
                <w:highlight w:val="none"/>
                <w:lang w:eastAsia="zh-CN"/>
              </w:rPr>
              <w:t>、</w:t>
            </w:r>
            <w:r>
              <w:rPr>
                <w:rFonts w:hint="eastAsia" w:ascii="Times New Roman" w:hAnsi="Times New Roman" w:eastAsia="宋体" w:cs="Times New Roman"/>
                <w:bCs w:val="0"/>
                <w:color w:val="auto"/>
                <w:kern w:val="2"/>
                <w:sz w:val="24"/>
                <w:szCs w:val="21"/>
                <w:highlight w:val="none"/>
                <w:lang w:val="en-US" w:eastAsia="zh-CN"/>
              </w:rPr>
              <w:t>能源</w:t>
            </w:r>
            <w:r>
              <w:rPr>
                <w:rFonts w:hint="eastAsia"/>
                <w:color w:val="auto"/>
                <w:highlight w:val="none"/>
                <w:lang w:val="en-US" w:eastAsia="zh-CN"/>
              </w:rPr>
              <w:t>消耗如下表。</w:t>
            </w:r>
          </w:p>
          <w:p>
            <w:pPr>
              <w:pStyle w:val="45"/>
              <w:ind w:left="482" w:hanging="482"/>
              <w:rPr>
                <w:rFonts w:hint="eastAsia" w:ascii="Times New Roman" w:hAnsi="Times New Roman" w:eastAsia="宋体" w:cs="Times New Roman"/>
                <w:color w:val="auto"/>
                <w:sz w:val="24"/>
                <w:szCs w:val="24"/>
                <w:highlight w:val="none"/>
              </w:rPr>
            </w:pPr>
          </w:p>
          <w:p>
            <w:pPr>
              <w:pStyle w:val="45"/>
              <w:ind w:left="482" w:hanging="482"/>
              <w:rPr>
                <w:rFonts w:hint="eastAsia"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rPr>
              <w:t>表</w:t>
            </w:r>
            <w:r>
              <w:rPr>
                <w:rFonts w:hint="eastAsia" w:ascii="Times New Roman" w:hAnsi="Times New Roman" w:eastAsia="宋体" w:cs="Times New Roman"/>
                <w:color w:val="auto"/>
                <w:sz w:val="24"/>
                <w:szCs w:val="24"/>
                <w:highlight w:val="none"/>
                <w:lang w:val="en-US" w:eastAsia="zh-CN"/>
              </w:rPr>
              <w:t>2-</w:t>
            </w:r>
            <w:r>
              <w:rPr>
                <w:rFonts w:hint="eastAsia" w:cs="Times New Roman"/>
                <w:color w:val="auto"/>
                <w:sz w:val="24"/>
                <w:szCs w:val="24"/>
                <w:highlight w:val="none"/>
                <w:lang w:val="en-US" w:eastAsia="zh-CN"/>
              </w:rPr>
              <w:t>6</w:t>
            </w:r>
            <w:r>
              <w:rPr>
                <w:rFonts w:hint="eastAsia" w:ascii="Times New Roman" w:hAnsi="Times New Roman" w:eastAsia="宋体" w:cs="Times New Roman"/>
                <w:color w:val="auto"/>
                <w:sz w:val="24"/>
                <w:szCs w:val="24"/>
                <w:highlight w:val="none"/>
              </w:rPr>
              <w:t xml:space="preserve">  主要能源消耗一览表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
            <w:tblGrid>
              <w:gridCol w:w="867"/>
              <w:gridCol w:w="718"/>
              <w:gridCol w:w="1669"/>
              <w:gridCol w:w="1422"/>
              <w:gridCol w:w="930"/>
              <w:gridCol w:w="27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867"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项目</w:t>
                  </w:r>
                </w:p>
              </w:tc>
              <w:tc>
                <w:tcPr>
                  <w:tcW w:w="718"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序号</w:t>
                  </w:r>
                </w:p>
              </w:tc>
              <w:tc>
                <w:tcPr>
                  <w:tcW w:w="1669"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名称</w:t>
                  </w:r>
                </w:p>
              </w:tc>
              <w:tc>
                <w:tcPr>
                  <w:tcW w:w="142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新增年用量</w:t>
                  </w:r>
                </w:p>
              </w:tc>
              <w:tc>
                <w:tcPr>
                  <w:tcW w:w="930"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单位</w:t>
                  </w:r>
                </w:p>
              </w:tc>
              <w:tc>
                <w:tcPr>
                  <w:tcW w:w="271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40" w:hRule="atLeast"/>
                <w:jc w:val="center"/>
              </w:trPr>
              <w:tc>
                <w:tcPr>
                  <w:tcW w:w="867"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原辅料</w:t>
                  </w:r>
                </w:p>
              </w:tc>
              <w:tc>
                <w:tcPr>
                  <w:tcW w:w="718"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1</w:t>
                  </w:r>
                </w:p>
              </w:tc>
              <w:tc>
                <w:tcPr>
                  <w:tcW w:w="1669"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导轨油</w:t>
                  </w:r>
                </w:p>
              </w:tc>
              <w:tc>
                <w:tcPr>
                  <w:tcW w:w="142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0.38</w:t>
                  </w:r>
                </w:p>
              </w:tc>
              <w:tc>
                <w:tcPr>
                  <w:tcW w:w="930"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t/a</w:t>
                  </w:r>
                </w:p>
              </w:tc>
              <w:tc>
                <w:tcPr>
                  <w:tcW w:w="271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轮毂加工使用，最大存储量为1桶（190L）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40" w:hRule="atLeast"/>
                <w:jc w:val="center"/>
              </w:trPr>
              <w:tc>
                <w:tcPr>
                  <w:tcW w:w="867"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p>
              </w:tc>
              <w:tc>
                <w:tcPr>
                  <w:tcW w:w="718"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2</w:t>
                  </w:r>
                </w:p>
              </w:tc>
              <w:tc>
                <w:tcPr>
                  <w:tcW w:w="1669"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切削液</w:t>
                  </w:r>
                </w:p>
              </w:tc>
              <w:tc>
                <w:tcPr>
                  <w:tcW w:w="142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0.57</w:t>
                  </w:r>
                </w:p>
              </w:tc>
              <w:tc>
                <w:tcPr>
                  <w:tcW w:w="930"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t/a</w:t>
                  </w:r>
                </w:p>
              </w:tc>
              <w:tc>
                <w:tcPr>
                  <w:tcW w:w="271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轮毂加工使用，最大存储量为1桶（190L），需与水勾兑，切削液与水的比例为1:1</w:t>
                  </w:r>
                  <w:r>
                    <w:rPr>
                      <w:rFonts w:hint="eastAsia" w:ascii="Times New Roman" w:hAnsi="Times New Roman" w:eastAsia="宋体" w:cs="Times New Roman"/>
                      <w:color w:val="auto"/>
                      <w:kern w:val="0"/>
                      <w:sz w:val="21"/>
                      <w:szCs w:val="21"/>
                      <w:highlight w:val="none"/>
                      <w:lang w:val="en-US" w:eastAsia="zh-CN" w:bidi="ar-SA"/>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40" w:hRule="atLeast"/>
                <w:jc w:val="center"/>
              </w:trPr>
              <w:tc>
                <w:tcPr>
                  <w:tcW w:w="867"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p>
              </w:tc>
              <w:tc>
                <w:tcPr>
                  <w:tcW w:w="718"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3</w:t>
                  </w:r>
                </w:p>
              </w:tc>
              <w:tc>
                <w:tcPr>
                  <w:tcW w:w="1669"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轮毂及铝制品</w:t>
                  </w:r>
                </w:p>
              </w:tc>
              <w:tc>
                <w:tcPr>
                  <w:tcW w:w="142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15000</w:t>
                  </w:r>
                </w:p>
              </w:tc>
              <w:tc>
                <w:tcPr>
                  <w:tcW w:w="930"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件/a</w:t>
                  </w:r>
                </w:p>
              </w:tc>
              <w:tc>
                <w:tcPr>
                  <w:tcW w:w="271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轮毂及铝制品加工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40" w:hRule="atLeast"/>
                <w:jc w:val="center"/>
              </w:trPr>
              <w:tc>
                <w:tcPr>
                  <w:tcW w:w="867"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p>
              </w:tc>
              <w:tc>
                <w:tcPr>
                  <w:tcW w:w="718"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4</w:t>
                  </w:r>
                </w:p>
              </w:tc>
              <w:tc>
                <w:tcPr>
                  <w:tcW w:w="1669"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钢板</w:t>
                  </w:r>
                </w:p>
              </w:tc>
              <w:tc>
                <w:tcPr>
                  <w:tcW w:w="142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200</w:t>
                  </w:r>
                </w:p>
              </w:tc>
              <w:tc>
                <w:tcPr>
                  <w:tcW w:w="930"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t/a</w:t>
                  </w:r>
                </w:p>
              </w:tc>
              <w:tc>
                <w:tcPr>
                  <w:tcW w:w="271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生产钢板，5-100mm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40" w:hRule="atLeast"/>
                <w:jc w:val="center"/>
              </w:trPr>
              <w:tc>
                <w:tcPr>
                  <w:tcW w:w="867"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能源</w:t>
                  </w:r>
                </w:p>
              </w:tc>
              <w:tc>
                <w:tcPr>
                  <w:tcW w:w="718"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1</w:t>
                  </w:r>
                </w:p>
              </w:tc>
              <w:tc>
                <w:tcPr>
                  <w:tcW w:w="1669"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电</w:t>
                  </w:r>
                </w:p>
              </w:tc>
              <w:tc>
                <w:tcPr>
                  <w:tcW w:w="142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12</w:t>
                  </w:r>
                </w:p>
              </w:tc>
              <w:tc>
                <w:tcPr>
                  <w:tcW w:w="930"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万度/a</w:t>
                  </w:r>
                </w:p>
              </w:tc>
              <w:tc>
                <w:tcPr>
                  <w:tcW w:w="271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90" w:hRule="atLeast"/>
                <w:jc w:val="center"/>
              </w:trPr>
              <w:tc>
                <w:tcPr>
                  <w:tcW w:w="867"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p>
              </w:tc>
              <w:tc>
                <w:tcPr>
                  <w:tcW w:w="718"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2</w:t>
                  </w:r>
                </w:p>
              </w:tc>
              <w:tc>
                <w:tcPr>
                  <w:tcW w:w="1669"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水</w:t>
                  </w:r>
                </w:p>
              </w:tc>
              <w:tc>
                <w:tcPr>
                  <w:tcW w:w="142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5.7</w:t>
                  </w:r>
                </w:p>
              </w:tc>
              <w:tc>
                <w:tcPr>
                  <w:tcW w:w="930"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m³/a</w:t>
                  </w:r>
                </w:p>
              </w:tc>
              <w:tc>
                <w:tcPr>
                  <w:tcW w:w="2712" w:type="dxa"/>
                  <w:tcBorders>
                    <w:tl2br w:val="nil"/>
                    <w:tr2bl w:val="nil"/>
                  </w:tcBorders>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生活不用水，为切削液配水使用</w:t>
                  </w:r>
                </w:p>
              </w:tc>
            </w:tr>
          </w:tbl>
          <w:p>
            <w:pPr>
              <w:pStyle w:val="8"/>
              <w:spacing w:before="0" w:after="0" w:line="360" w:lineRule="auto"/>
              <w:ind w:firstLine="0" w:firstLineChars="0"/>
              <w:jc w:val="left"/>
              <w:rPr>
                <w:rFonts w:hint="eastAsia" w:ascii="Times New Roman" w:hAnsi="Times New Roman" w:eastAsia="宋体" w:cs="Times New Roman"/>
                <w:bCs w:val="0"/>
                <w:color w:val="auto"/>
                <w:kern w:val="2"/>
                <w:sz w:val="24"/>
                <w:szCs w:val="21"/>
                <w:highlight w:val="none"/>
              </w:rPr>
            </w:pPr>
            <w:r>
              <w:rPr>
                <w:rFonts w:hint="eastAsia" w:ascii="Times New Roman" w:hAnsi="Times New Roman" w:eastAsia="宋体" w:cs="Times New Roman"/>
                <w:bCs w:val="0"/>
                <w:color w:val="auto"/>
                <w:kern w:val="2"/>
                <w:sz w:val="24"/>
                <w:szCs w:val="21"/>
                <w:highlight w:val="none"/>
              </w:rPr>
              <w:t>3.5</w:t>
            </w:r>
            <w:r>
              <w:rPr>
                <w:rFonts w:hint="eastAsia" w:ascii="Times New Roman" w:hAnsi="Times New Roman" w:eastAsia="宋体" w:cs="Times New Roman"/>
                <w:bCs w:val="0"/>
                <w:color w:val="auto"/>
                <w:kern w:val="2"/>
                <w:sz w:val="24"/>
                <w:szCs w:val="21"/>
                <w:highlight w:val="none"/>
                <w:lang w:eastAsia="zh-CN"/>
              </w:rPr>
              <w:t>、</w:t>
            </w:r>
            <w:r>
              <w:rPr>
                <w:rFonts w:hint="eastAsia" w:ascii="Times New Roman" w:hAnsi="Times New Roman" w:eastAsia="宋体" w:cs="Times New Roman"/>
                <w:bCs w:val="0"/>
                <w:color w:val="auto"/>
                <w:kern w:val="2"/>
                <w:sz w:val="24"/>
                <w:szCs w:val="21"/>
                <w:highlight w:val="none"/>
              </w:rPr>
              <w:t>产品方案</w:t>
            </w:r>
          </w:p>
          <w:p>
            <w:pPr>
              <w:numPr>
                <w:ilvl w:val="0"/>
                <w:numId w:val="0"/>
              </w:numPr>
              <w:adjustRightInd w:val="0"/>
              <w:snapToGrid w:val="0"/>
              <w:spacing w:line="360" w:lineRule="auto"/>
              <w:ind w:firstLine="480" w:firstLineChars="200"/>
              <w:rPr>
                <w:rFonts w:hint="eastAsia"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本项目新增产品主要为轮毂及铝制品和钢板，具体如下表</w:t>
            </w:r>
            <w:r>
              <w:rPr>
                <w:rFonts w:hint="eastAsia" w:ascii="Times New Roman" w:hAnsi="Times New Roman" w:eastAsia="宋体" w:cs="Times New Roman"/>
                <w:color w:val="auto"/>
                <w:sz w:val="24"/>
                <w:szCs w:val="24"/>
                <w:highlight w:val="none"/>
                <w:lang w:val="en-US" w:eastAsia="zh-CN"/>
              </w:rPr>
              <w:t>。</w:t>
            </w:r>
          </w:p>
          <w:p>
            <w:pPr>
              <w:pStyle w:val="45"/>
              <w:ind w:left="482" w:hanging="482"/>
              <w:rPr>
                <w:rFonts w:hint="eastAsia"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rPr>
              <w:t>表</w:t>
            </w:r>
            <w:r>
              <w:rPr>
                <w:rFonts w:hint="eastAsia" w:ascii="Times New Roman" w:hAnsi="Times New Roman" w:eastAsia="宋体" w:cs="Times New Roman"/>
                <w:color w:val="auto"/>
                <w:sz w:val="24"/>
                <w:szCs w:val="24"/>
                <w:highlight w:val="none"/>
                <w:lang w:val="en-US" w:eastAsia="zh-CN"/>
              </w:rPr>
              <w:t>2-</w:t>
            </w:r>
            <w:r>
              <w:rPr>
                <w:rFonts w:hint="eastAsia" w:cs="Times New Roman"/>
                <w:color w:val="auto"/>
                <w:sz w:val="24"/>
                <w:szCs w:val="24"/>
                <w:highlight w:val="none"/>
                <w:lang w:val="en-US" w:eastAsia="zh-CN"/>
              </w:rPr>
              <w:t>7</w:t>
            </w:r>
            <w:r>
              <w:rPr>
                <w:rFonts w:hint="eastAsia" w:ascii="Times New Roman" w:hAnsi="Times New Roman" w:eastAsia="宋体" w:cs="Times New Roman"/>
                <w:color w:val="auto"/>
                <w:sz w:val="24"/>
                <w:szCs w:val="24"/>
                <w:highlight w:val="none"/>
              </w:rPr>
              <w:t xml:space="preserve">  </w:t>
            </w:r>
            <w:r>
              <w:rPr>
                <w:rFonts w:hint="eastAsia" w:cs="Times New Roman"/>
                <w:color w:val="auto"/>
                <w:sz w:val="24"/>
                <w:szCs w:val="24"/>
                <w:highlight w:val="none"/>
                <w:lang w:val="en-US" w:eastAsia="zh-CN"/>
              </w:rPr>
              <w:t>产品方案</w:t>
            </w:r>
            <w:r>
              <w:rPr>
                <w:rFonts w:hint="eastAsia" w:ascii="Times New Roman" w:hAnsi="Times New Roman" w:eastAsia="宋体" w:cs="Times New Roman"/>
                <w:color w:val="auto"/>
                <w:sz w:val="24"/>
                <w:szCs w:val="24"/>
                <w:highlight w:val="none"/>
              </w:rPr>
              <w:t>一览表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373"/>
              <w:gridCol w:w="3511"/>
              <w:gridCol w:w="34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373"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序号</w:t>
                  </w:r>
                </w:p>
              </w:tc>
              <w:tc>
                <w:tcPr>
                  <w:tcW w:w="3511"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名称</w:t>
                  </w:r>
                </w:p>
              </w:tc>
              <w:tc>
                <w:tcPr>
                  <w:tcW w:w="3434"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年产量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373"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w:t>
                  </w:r>
                </w:p>
              </w:tc>
              <w:tc>
                <w:tcPr>
                  <w:tcW w:w="3511"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轮毂</w:t>
                  </w:r>
                  <w:r>
                    <w:rPr>
                      <w:rFonts w:hint="eastAsia" w:cs="Times New Roman"/>
                      <w:color w:val="auto"/>
                      <w:kern w:val="0"/>
                      <w:sz w:val="21"/>
                      <w:szCs w:val="21"/>
                      <w:highlight w:val="none"/>
                      <w:lang w:val="en-US" w:eastAsia="zh-CN" w:bidi="ar-SA"/>
                    </w:rPr>
                    <w:t>及铝制品</w:t>
                  </w:r>
                </w:p>
              </w:tc>
              <w:tc>
                <w:tcPr>
                  <w:tcW w:w="3434"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10000件</w:t>
                  </w:r>
                  <w:r>
                    <w:rPr>
                      <w:rFonts w:hint="eastAsia" w:ascii="Times New Roman" w:hAnsi="Times New Roman" w:eastAsia="宋体" w:cs="Times New Roman"/>
                      <w:color w:val="auto"/>
                      <w:highlight w:val="none"/>
                      <w:lang w:val="en-US" w:eastAsia="zh-CN"/>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373"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w:t>
                  </w:r>
                </w:p>
              </w:tc>
              <w:tc>
                <w:tcPr>
                  <w:tcW w:w="3511"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钢板</w:t>
                  </w:r>
                  <w:r>
                    <w:rPr>
                      <w:rFonts w:hint="eastAsia" w:ascii="Times New Roman" w:hAnsi="Times New Roman" w:cs="Times New Roman"/>
                      <w:color w:val="auto"/>
                      <w:highlight w:val="none"/>
                      <w:lang w:val="en-US" w:eastAsia="zh-CN"/>
                    </w:rPr>
                    <w:t>（产品规格按照客户需求定做，作为设备的配件）</w:t>
                  </w:r>
                </w:p>
              </w:tc>
              <w:tc>
                <w:tcPr>
                  <w:tcW w:w="3434" w:type="dxa"/>
                  <w:tcBorders>
                    <w:tl2br w:val="nil"/>
                    <w:tr2bl w:val="nil"/>
                  </w:tcBorders>
                  <w:tcMar>
                    <w:top w:w="0" w:type="dxa"/>
                    <w:left w:w="108" w:type="dxa"/>
                    <w:bottom w:w="0" w:type="dxa"/>
                    <w:right w:w="108" w:type="dxa"/>
                  </w:tcMar>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500t/a</w:t>
                  </w:r>
                </w:p>
              </w:tc>
            </w:tr>
          </w:tbl>
          <w:p>
            <w:pPr>
              <w:pStyle w:val="8"/>
              <w:spacing w:before="0" w:after="0" w:line="360" w:lineRule="auto"/>
              <w:ind w:firstLine="0" w:firstLineChars="0"/>
              <w:jc w:val="left"/>
              <w:rPr>
                <w:rFonts w:hint="eastAsia" w:ascii="Times New Roman" w:hAnsi="Times New Roman" w:eastAsia="宋体" w:cs="Times New Roman"/>
                <w:bCs w:val="0"/>
                <w:color w:val="auto"/>
                <w:kern w:val="2"/>
                <w:sz w:val="24"/>
                <w:szCs w:val="21"/>
                <w:highlight w:val="none"/>
              </w:rPr>
            </w:pPr>
            <w:r>
              <w:rPr>
                <w:rFonts w:hint="eastAsia" w:ascii="Times New Roman" w:hAnsi="Times New Roman" w:eastAsia="宋体" w:cs="Times New Roman"/>
                <w:bCs w:val="0"/>
                <w:color w:val="auto"/>
                <w:kern w:val="2"/>
                <w:sz w:val="24"/>
                <w:szCs w:val="21"/>
                <w:highlight w:val="none"/>
              </w:rPr>
              <w:t>3.6</w:t>
            </w:r>
            <w:r>
              <w:rPr>
                <w:rFonts w:hint="eastAsia" w:ascii="Times New Roman" w:hAnsi="Times New Roman" w:eastAsia="宋体" w:cs="Times New Roman"/>
                <w:bCs w:val="0"/>
                <w:color w:val="auto"/>
                <w:kern w:val="2"/>
                <w:sz w:val="24"/>
                <w:szCs w:val="21"/>
                <w:highlight w:val="none"/>
                <w:lang w:eastAsia="zh-CN"/>
              </w:rPr>
              <w:t>、</w:t>
            </w:r>
            <w:r>
              <w:rPr>
                <w:rFonts w:hint="eastAsia" w:ascii="Times New Roman" w:hAnsi="Times New Roman" w:eastAsia="宋体" w:cs="Times New Roman"/>
                <w:bCs w:val="0"/>
                <w:color w:val="auto"/>
                <w:kern w:val="2"/>
                <w:sz w:val="24"/>
                <w:szCs w:val="21"/>
                <w:highlight w:val="none"/>
              </w:rPr>
              <w:t>水资源及能源消耗情况</w:t>
            </w:r>
          </w:p>
          <w:p>
            <w:pPr>
              <w:pStyle w:val="9"/>
              <w:ind w:left="0" w:leftChars="0" w:firstLine="0" w:firstLineChars="0"/>
              <w:rPr>
                <w:color w:val="auto"/>
                <w:highlight w:val="none"/>
              </w:rPr>
            </w:pPr>
            <w:r>
              <w:rPr>
                <w:color w:val="auto"/>
                <w:highlight w:val="none"/>
              </w:rPr>
              <w:t>3.6.1 给排水</w:t>
            </w:r>
          </w:p>
          <w:p>
            <w:pPr>
              <w:rPr>
                <w:rFonts w:hint="eastAsia"/>
                <w:color w:val="auto"/>
                <w:highlight w:val="none"/>
                <w:lang w:val="en-US" w:eastAsia="zh-CN"/>
              </w:rPr>
            </w:pPr>
            <w:r>
              <w:rPr>
                <w:rFonts w:hint="eastAsia"/>
                <w:color w:val="auto"/>
                <w:highlight w:val="none"/>
                <w:lang w:val="en-US" w:eastAsia="zh-CN"/>
              </w:rPr>
              <w:t>本项目无新增生活用水，无新增生活废水产生。</w:t>
            </w:r>
          </w:p>
          <w:p>
            <w:pPr>
              <w:pStyle w:val="27"/>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Lines="0" w:afterAutospacing="0" w:line="360" w:lineRule="auto"/>
              <w:ind w:left="0" w:right="0" w:firstLine="480" w:firstLineChars="200"/>
              <w:jc w:val="left"/>
              <w:textAlignment w:val="auto"/>
              <w:rPr>
                <w:rFonts w:hint="eastAsia" w:ascii="Times New Roman" w:hAnsi="Times New Roman" w:cs="Times New Roman"/>
                <w:color w:val="auto"/>
                <w:kern w:val="2"/>
                <w:sz w:val="24"/>
                <w:szCs w:val="24"/>
                <w:highlight w:val="none"/>
                <w:lang w:val="en-US" w:eastAsia="zh-CN" w:bidi="ar-SA"/>
              </w:rPr>
            </w:pPr>
            <w:r>
              <w:rPr>
                <w:rFonts w:hint="eastAsia" w:ascii="Times New Roman" w:hAnsi="Times New Roman" w:cs="Times New Roman"/>
                <w:color w:val="auto"/>
                <w:kern w:val="2"/>
                <w:sz w:val="24"/>
                <w:szCs w:val="24"/>
                <w:highlight w:val="none"/>
                <w:lang w:val="en-US" w:eastAsia="zh-CN" w:bidi="ar-SA"/>
              </w:rPr>
              <w:t>项目生产用水为切削液勾兑用水，切削液与水的勾兑比例为1:10，本项目年使用切削液0.57t，则用水量为5.7m³/a。项目乳化液循环使用，不外排。</w:t>
            </w:r>
          </w:p>
          <w:p>
            <w:pPr>
              <w:pStyle w:val="9"/>
              <w:jc w:val="left"/>
              <w:rPr>
                <w:rFonts w:hint="default"/>
                <w:color w:val="auto"/>
                <w:highlight w:val="none"/>
              </w:rPr>
            </w:pPr>
            <w:r>
              <w:rPr>
                <w:color w:val="auto"/>
                <w:highlight w:val="none"/>
              </w:rPr>
              <w:t>3.6</w:t>
            </w:r>
            <w:r>
              <w:rPr>
                <w:rFonts w:hint="default"/>
                <w:color w:val="auto"/>
                <w:highlight w:val="none"/>
              </w:rPr>
              <w:t>.2 供电</w:t>
            </w:r>
          </w:p>
          <w:p>
            <w:pPr>
              <w:ind w:firstLine="480" w:firstLineChars="200"/>
              <w:rPr>
                <w:rFonts w:hint="eastAsia" w:ascii="Times New Roman" w:hAnsi="Times New Roman" w:eastAsia="宋体" w:cs="Times New Roman"/>
                <w:color w:val="auto"/>
                <w:highlight w:val="none"/>
              </w:rPr>
            </w:pPr>
            <w:r>
              <w:rPr>
                <w:rFonts w:hint="eastAsia"/>
                <w:color w:val="auto"/>
                <w:highlight w:val="none"/>
              </w:rPr>
              <w:t>企业供电由当地电网统一供给</w:t>
            </w:r>
            <w:r>
              <w:rPr>
                <w:rFonts w:hint="eastAsia"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年新增用电量为12万kW·h</w:t>
            </w:r>
            <w:r>
              <w:rPr>
                <w:rFonts w:hint="eastAsia" w:ascii="Times New Roman" w:hAnsi="Times New Roman" w:eastAsia="宋体" w:cs="Times New Roman"/>
                <w:color w:val="auto"/>
                <w:highlight w:val="none"/>
              </w:rPr>
              <w:t>。</w:t>
            </w:r>
          </w:p>
          <w:p>
            <w:pPr>
              <w:pStyle w:val="9"/>
              <w:rPr>
                <w:rFonts w:hint="default"/>
                <w:color w:val="auto"/>
                <w:highlight w:val="none"/>
              </w:rPr>
            </w:pPr>
            <w:r>
              <w:rPr>
                <w:color w:val="auto"/>
                <w:highlight w:val="none"/>
              </w:rPr>
              <w:t>3.6</w:t>
            </w:r>
            <w:r>
              <w:rPr>
                <w:rFonts w:hint="default"/>
                <w:color w:val="auto"/>
                <w:highlight w:val="none"/>
              </w:rPr>
              <w:t>.3 供热</w:t>
            </w:r>
          </w:p>
          <w:p>
            <w:pPr>
              <w:pStyle w:val="27"/>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Lines="0" w:afterAutospacing="0" w:line="360" w:lineRule="auto"/>
              <w:ind w:left="0" w:right="0" w:firstLine="480" w:firstLineChars="200"/>
              <w:jc w:val="left"/>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项目办公区冬季采用空调供暖，车间不需供暖供热。</w:t>
            </w:r>
          </w:p>
          <w:p>
            <w:pPr>
              <w:pStyle w:val="8"/>
              <w:bidi w:val="0"/>
              <w:ind w:firstLine="482" w:firstLineChars="200"/>
              <w:rPr>
                <w:rFonts w:hint="eastAsia" w:cs="Times New Roman"/>
                <w:color w:val="auto"/>
                <w:highlight w:val="none"/>
                <w:lang w:val="en-US" w:eastAsia="zh-CN"/>
              </w:rPr>
            </w:pPr>
            <w:r>
              <w:rPr>
                <w:rFonts w:hint="eastAsia" w:cs="Times New Roman"/>
                <w:color w:val="auto"/>
                <w:highlight w:val="none"/>
                <w:lang w:val="en-US" w:eastAsia="zh-CN"/>
              </w:rPr>
              <w:t>运营期</w:t>
            </w:r>
            <w:r>
              <w:rPr>
                <w:rFonts w:hint="default" w:ascii="Times New Roman" w:hAnsi="Times New Roman" w:cs="Times New Roman"/>
                <w:color w:val="auto"/>
                <w:highlight w:val="none"/>
                <w:lang w:val="en-US" w:eastAsia="zh-CN"/>
              </w:rPr>
              <w:t>工艺流程</w:t>
            </w:r>
            <w:r>
              <w:rPr>
                <w:rFonts w:hint="eastAsia" w:cs="Times New Roman"/>
                <w:color w:val="auto"/>
                <w:highlight w:val="none"/>
                <w:lang w:val="en-US" w:eastAsia="zh-CN"/>
              </w:rPr>
              <w:t>：</w:t>
            </w:r>
          </w:p>
          <w:p>
            <w:pPr>
              <w:numPr>
                <w:ilvl w:val="0"/>
                <w:numId w:val="1"/>
              </w:numPr>
              <w:ind w:left="0" w:leftChars="0" w:firstLine="0" w:firstLineChars="0"/>
              <w:rPr>
                <w:rFonts w:hint="eastAsia" w:cs="Times New Roman"/>
                <w:color w:val="auto"/>
                <w:highlight w:val="none"/>
                <w:lang w:val="en-US" w:eastAsia="zh-CN"/>
              </w:rPr>
            </w:pPr>
            <w:r>
              <w:rPr>
                <w:rFonts w:hint="eastAsia" w:cs="Times New Roman"/>
                <w:color w:val="auto"/>
                <w:highlight w:val="none"/>
                <w:lang w:val="en-US" w:eastAsia="zh-CN"/>
              </w:rPr>
              <w:t>主要工艺环节说明：</w:t>
            </w:r>
          </w:p>
          <w:p>
            <w:pPr>
              <w:pStyle w:val="27"/>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Lines="0" w:afterAutospacing="0" w:line="360" w:lineRule="auto"/>
              <w:ind w:left="0" w:right="0" w:firstLine="480" w:firstLineChars="200"/>
              <w:jc w:val="left"/>
              <w:textAlignment w:val="auto"/>
              <w:rPr>
                <w:rFonts w:hint="eastAsia"/>
                <w:color w:val="auto"/>
                <w:highlight w:val="none"/>
                <w:lang w:val="en-US" w:eastAsia="zh-CN"/>
              </w:rPr>
            </w:pPr>
            <w:r>
              <w:rPr>
                <w:rFonts w:hint="eastAsia"/>
                <w:color w:val="auto"/>
                <w:highlight w:val="none"/>
                <w:lang w:val="en-US" w:eastAsia="zh-CN"/>
              </w:rPr>
              <w:t>项目原料（轮毂及铝制品）进厂后，客户会给提供加工的程序，将程序载入设备，设备会自行按照客户要求进行数控加工（属于铣床加工，无打磨、焊接等工艺），加工后出厂外售。具体工艺流程及排污节点见下图：</w:t>
            </w:r>
          </w:p>
          <w:p>
            <w:pPr>
              <w:pStyle w:val="27"/>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jc w:val="center"/>
              <w:textAlignment w:val="auto"/>
              <w:rPr>
                <w:rFonts w:hint="eastAsia"/>
                <w:color w:val="auto"/>
                <w:highlight w:val="none"/>
                <w:lang w:eastAsia="zh-CN"/>
              </w:rPr>
            </w:pPr>
            <w:r>
              <w:rPr>
                <w:rFonts w:hint="eastAsia"/>
                <w:color w:val="auto"/>
                <w:highlight w:val="none"/>
                <w:lang w:eastAsia="zh-CN"/>
              </w:rPr>
              <w:drawing>
                <wp:inline distT="0" distB="0" distL="114300" distR="114300">
                  <wp:extent cx="3336290" cy="2073910"/>
                  <wp:effectExtent l="0" t="0" r="16510" b="0"/>
                  <wp:docPr id="2" name="ECB019B1-382A-4266-B25C-5B523AA43C14-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CB019B1-382A-4266-B25C-5B523AA43C14-1" descr="wps"/>
                          <pic:cNvPicPr>
                            <a:picLocks noChangeAspect="1"/>
                          </pic:cNvPicPr>
                        </pic:nvPicPr>
                        <pic:blipFill>
                          <a:blip r:embed="rId13"/>
                          <a:srcRect l="18198" t="47917" r="21357" b="24479"/>
                          <a:stretch>
                            <a:fillRect/>
                          </a:stretch>
                        </pic:blipFill>
                        <pic:spPr>
                          <a:xfrm>
                            <a:off x="0" y="0"/>
                            <a:ext cx="3336290" cy="2073910"/>
                          </a:xfrm>
                          <a:prstGeom prst="rect">
                            <a:avLst/>
                          </a:prstGeom>
                        </pic:spPr>
                      </pic:pic>
                    </a:graphicData>
                  </a:graphic>
                </wp:inline>
              </w:drawing>
            </w:r>
            <w:r>
              <w:rPr>
                <w:rFonts w:hint="eastAsia"/>
                <w:color w:val="auto"/>
                <w:highlight w:val="none"/>
                <w:lang w:eastAsia="zh-CN"/>
              </w:rPr>
              <w:drawing>
                <wp:inline distT="0" distB="0" distL="114300" distR="114300">
                  <wp:extent cx="3907790" cy="184785"/>
                  <wp:effectExtent l="0" t="0" r="0" b="5080"/>
                  <wp:docPr id="78" name="图片 78" descr="qt_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qt_temp"/>
                          <pic:cNvPicPr>
                            <a:picLocks noChangeAspect="1"/>
                          </pic:cNvPicPr>
                        </pic:nvPicPr>
                        <pic:blipFill>
                          <a:blip r:embed="rId14"/>
                          <a:srcRect l="32608" t="47824" r="3262" b="49041"/>
                          <a:stretch>
                            <a:fillRect/>
                          </a:stretch>
                        </pic:blipFill>
                        <pic:spPr>
                          <a:xfrm>
                            <a:off x="0" y="0"/>
                            <a:ext cx="3907790" cy="184785"/>
                          </a:xfrm>
                          <a:prstGeom prst="rect">
                            <a:avLst/>
                          </a:prstGeom>
                          <a:noFill/>
                          <a:ln>
                            <a:noFill/>
                          </a:ln>
                        </pic:spPr>
                      </pic:pic>
                    </a:graphicData>
                  </a:graphic>
                </wp:inline>
              </w:drawing>
            </w:r>
          </w:p>
          <w:p>
            <w:pPr>
              <w:pStyle w:val="45"/>
              <w:ind w:left="482" w:hanging="482"/>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图2-2</w:t>
            </w:r>
            <w:r>
              <w:rPr>
                <w:rFonts w:hint="eastAsia" w:ascii="Times New Roman" w:hAnsi="Times New Roman" w:eastAsia="宋体" w:cs="Times New Roman"/>
                <w:color w:val="auto"/>
                <w:sz w:val="24"/>
                <w:szCs w:val="24"/>
                <w:highlight w:val="none"/>
              </w:rPr>
              <w:t xml:space="preserve">  </w:t>
            </w:r>
            <w:r>
              <w:rPr>
                <w:rFonts w:hint="eastAsia" w:ascii="Times New Roman" w:hAnsi="Times New Roman" w:eastAsia="宋体" w:cs="Times New Roman"/>
                <w:color w:val="auto"/>
                <w:sz w:val="24"/>
                <w:szCs w:val="24"/>
                <w:highlight w:val="none"/>
                <w:lang w:val="en-US" w:eastAsia="zh-CN"/>
              </w:rPr>
              <w:t>轮毂及铝制品加工工艺及排污节点图</w:t>
            </w:r>
          </w:p>
          <w:p>
            <w:pPr>
              <w:pStyle w:val="27"/>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Lines="0" w:afterAutospacing="0" w:line="360" w:lineRule="auto"/>
              <w:ind w:left="0" w:right="0" w:firstLine="480" w:firstLineChars="200"/>
              <w:jc w:val="left"/>
              <w:textAlignment w:val="auto"/>
              <w:rPr>
                <w:rFonts w:hint="eastAsia"/>
                <w:color w:val="auto"/>
                <w:highlight w:val="none"/>
                <w:lang w:val="en-US" w:eastAsia="zh-CN"/>
              </w:rPr>
            </w:pPr>
            <w:r>
              <w:rPr>
                <w:rFonts w:hint="eastAsia"/>
                <w:color w:val="auto"/>
                <w:highlight w:val="none"/>
                <w:lang w:val="en-US" w:eastAsia="zh-CN"/>
              </w:rPr>
              <w:t>项目原料（钢板）进厂后，按照客户要求进行龙门刨铣床加工（加工无打磨焊接等工序），加工后出厂外售。大部分钢板仅一侧刨出凹槽，具体工艺流程及排污节点见下图：</w:t>
            </w:r>
          </w:p>
          <w:p>
            <w:pPr>
              <w:pStyle w:val="45"/>
              <w:ind w:left="482" w:hanging="482"/>
              <w:rPr>
                <w:rFonts w:hint="eastAsia" w:ascii="Times New Roman" w:hAnsi="Times New Roman" w:eastAsia="宋体" w:cs="Times New Roman"/>
                <w:color w:val="auto"/>
                <w:sz w:val="24"/>
                <w:szCs w:val="24"/>
                <w:highlight w:val="none"/>
                <w:lang w:val="en-US" w:eastAsia="zh-CN"/>
              </w:rPr>
            </w:pPr>
            <w:r>
              <w:rPr>
                <w:rFonts w:hint="eastAsia"/>
                <w:color w:val="auto"/>
                <w:highlight w:val="none"/>
                <w:lang w:eastAsia="zh-CN"/>
              </w:rPr>
              <w:drawing>
                <wp:inline distT="0" distB="0" distL="114300" distR="114300">
                  <wp:extent cx="3478530" cy="1313180"/>
                  <wp:effectExtent l="0" t="0" r="7620" b="0"/>
                  <wp:docPr id="4" name="ECB019B1-382A-4266-B25C-5B523AA43C14-2"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CB019B1-382A-4266-B25C-5B523AA43C14-2" descr="wps"/>
                          <pic:cNvPicPr>
                            <a:picLocks noChangeAspect="1"/>
                          </pic:cNvPicPr>
                        </pic:nvPicPr>
                        <pic:blipFill>
                          <a:blip r:embed="rId15"/>
                          <a:srcRect l="18198" t="80358" r="21718" b="2975"/>
                          <a:stretch>
                            <a:fillRect/>
                          </a:stretch>
                        </pic:blipFill>
                        <pic:spPr>
                          <a:xfrm>
                            <a:off x="0" y="0"/>
                            <a:ext cx="3478530" cy="1313180"/>
                          </a:xfrm>
                          <a:prstGeom prst="rect">
                            <a:avLst/>
                          </a:prstGeom>
                        </pic:spPr>
                      </pic:pic>
                    </a:graphicData>
                  </a:graphic>
                </wp:inline>
              </w:drawing>
            </w:r>
            <w:r>
              <w:rPr>
                <w:rFonts w:hint="eastAsia"/>
                <w:color w:val="auto"/>
                <w:highlight w:val="none"/>
                <w:lang w:eastAsia="zh-CN"/>
              </w:rPr>
              <w:drawing>
                <wp:inline distT="0" distB="0" distL="114300" distR="114300">
                  <wp:extent cx="3907790" cy="184785"/>
                  <wp:effectExtent l="0" t="0" r="0" b="5080"/>
                  <wp:docPr id="76" name="图片 76" descr="qt_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qt_temp"/>
                          <pic:cNvPicPr>
                            <a:picLocks noChangeAspect="1"/>
                          </pic:cNvPicPr>
                        </pic:nvPicPr>
                        <pic:blipFill>
                          <a:blip r:embed="rId14"/>
                          <a:srcRect l="32608" t="47824" r="3262" b="49041"/>
                          <a:stretch>
                            <a:fillRect/>
                          </a:stretch>
                        </pic:blipFill>
                        <pic:spPr>
                          <a:xfrm>
                            <a:off x="0" y="0"/>
                            <a:ext cx="3907790" cy="184785"/>
                          </a:xfrm>
                          <a:prstGeom prst="rect">
                            <a:avLst/>
                          </a:prstGeom>
                          <a:noFill/>
                          <a:ln>
                            <a:noFill/>
                          </a:ln>
                        </pic:spPr>
                      </pic:pic>
                    </a:graphicData>
                  </a:graphic>
                </wp:inline>
              </w:drawing>
            </w:r>
          </w:p>
          <w:p>
            <w:pPr>
              <w:pStyle w:val="45"/>
              <w:ind w:left="482" w:hanging="482"/>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图2-3</w:t>
            </w:r>
            <w:r>
              <w:rPr>
                <w:rFonts w:hint="eastAsia" w:ascii="Times New Roman" w:hAnsi="Times New Roman" w:eastAsia="宋体" w:cs="Times New Roman"/>
                <w:color w:val="auto"/>
                <w:sz w:val="24"/>
                <w:szCs w:val="24"/>
                <w:highlight w:val="none"/>
              </w:rPr>
              <w:t xml:space="preserve">  </w:t>
            </w:r>
            <w:r>
              <w:rPr>
                <w:rFonts w:hint="eastAsia" w:ascii="Times New Roman" w:hAnsi="Times New Roman" w:eastAsia="宋体" w:cs="Times New Roman"/>
                <w:color w:val="auto"/>
                <w:sz w:val="24"/>
                <w:szCs w:val="24"/>
                <w:highlight w:val="none"/>
                <w:lang w:val="en-US" w:eastAsia="zh-CN"/>
              </w:rPr>
              <w:t>钢板加工工艺及排污节点图</w:t>
            </w:r>
          </w:p>
          <w:p>
            <w:pPr>
              <w:pStyle w:val="43"/>
              <w:spacing w:line="360" w:lineRule="auto"/>
              <w:ind w:firstLine="480" w:firstLineChars="200"/>
              <w:rPr>
                <w:rFonts w:hint="default"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项目运营期产排污环节和污染物，见下表。</w:t>
            </w:r>
          </w:p>
          <w:p>
            <w:pPr>
              <w:pStyle w:val="43"/>
              <w:spacing w:line="240" w:lineRule="auto"/>
              <w:jc w:val="center"/>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表</w:t>
            </w:r>
            <w:r>
              <w:rPr>
                <w:rFonts w:hint="default" w:ascii="Times New Roman" w:hAnsi="Times New Roman" w:cs="Times New Roman"/>
                <w:b/>
                <w:bCs/>
                <w:color w:val="auto"/>
                <w:sz w:val="24"/>
                <w:szCs w:val="24"/>
                <w:highlight w:val="none"/>
                <w:lang w:val="en-US" w:eastAsia="zh-CN"/>
              </w:rPr>
              <w:t>2-</w:t>
            </w:r>
            <w:r>
              <w:rPr>
                <w:rFonts w:hint="eastAsia" w:ascii="Times New Roman" w:hAnsi="Times New Roman" w:cs="Times New Roman"/>
                <w:b/>
                <w:bCs/>
                <w:color w:val="auto"/>
                <w:sz w:val="24"/>
                <w:szCs w:val="24"/>
                <w:highlight w:val="none"/>
                <w:lang w:val="en-US" w:eastAsia="zh-CN"/>
              </w:rPr>
              <w:t>8</w:t>
            </w:r>
            <w:r>
              <w:rPr>
                <w:rFonts w:hint="default" w:ascii="Times New Roman" w:hAnsi="Times New Roman" w:cs="Times New Roman"/>
                <w:b/>
                <w:bCs/>
                <w:color w:val="auto"/>
                <w:sz w:val="24"/>
                <w:szCs w:val="24"/>
                <w:highlight w:val="none"/>
                <w:lang w:val="en-US" w:eastAsia="zh-CN"/>
              </w:rPr>
              <w:t xml:space="preserve"> </w:t>
            </w:r>
            <w:r>
              <w:rPr>
                <w:rFonts w:hint="eastAsia" w:ascii="宋体" w:hAnsi="宋体" w:eastAsia="宋体" w:cs="宋体"/>
                <w:b/>
                <w:bCs/>
                <w:color w:val="auto"/>
                <w:sz w:val="24"/>
                <w:szCs w:val="24"/>
                <w:highlight w:val="none"/>
                <w:lang w:val="en-US" w:eastAsia="zh-CN"/>
              </w:rPr>
              <w:t>本项目各工段产排污环节一览表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fixed"/>
              <w:tblCellMar>
                <w:top w:w="0" w:type="dxa"/>
                <w:left w:w="108" w:type="dxa"/>
                <w:bottom w:w="0" w:type="dxa"/>
                <w:right w:w="108" w:type="dxa"/>
              </w:tblCellMar>
            </w:tblPr>
            <w:tblGrid>
              <w:gridCol w:w="1005"/>
              <w:gridCol w:w="1478"/>
              <w:gridCol w:w="1919"/>
              <w:gridCol w:w="3916"/>
            </w:tblGrid>
            <w:tr>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005" w:type="dxa"/>
                  <w:noWrap w:val="0"/>
                  <w:vAlign w:val="center"/>
                </w:tcPr>
                <w:p>
                  <w:pPr>
                    <w:pStyle w:val="39"/>
                    <w:bidi w:val="0"/>
                    <w:ind w:firstLine="0"/>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污染物</w:t>
                  </w:r>
                </w:p>
              </w:tc>
              <w:tc>
                <w:tcPr>
                  <w:tcW w:w="1478" w:type="dxa"/>
                  <w:noWrap w:val="0"/>
                  <w:vAlign w:val="center"/>
                </w:tcPr>
                <w:p>
                  <w:pPr>
                    <w:pStyle w:val="39"/>
                    <w:bidi w:val="0"/>
                    <w:ind w:firstLine="0"/>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污染工序</w:t>
                  </w:r>
                </w:p>
              </w:tc>
              <w:tc>
                <w:tcPr>
                  <w:tcW w:w="1919" w:type="dxa"/>
                  <w:noWrap w:val="0"/>
                  <w:vAlign w:val="center"/>
                </w:tcPr>
                <w:p>
                  <w:pPr>
                    <w:pStyle w:val="39"/>
                    <w:bidi w:val="0"/>
                    <w:ind w:firstLine="0"/>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主要污染因子</w:t>
                  </w:r>
                </w:p>
              </w:tc>
              <w:tc>
                <w:tcPr>
                  <w:tcW w:w="3916" w:type="dxa"/>
                  <w:noWrap w:val="0"/>
                  <w:vAlign w:val="center"/>
                </w:tcPr>
                <w:p>
                  <w:pPr>
                    <w:pStyle w:val="39"/>
                    <w:bidi w:val="0"/>
                    <w:ind w:firstLine="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治理措施</w:t>
                  </w:r>
                </w:p>
              </w:tc>
            </w:tr>
            <w:tr>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005" w:type="dxa"/>
                  <w:noWrap w:val="0"/>
                  <w:vAlign w:val="center"/>
                </w:tcPr>
                <w:p>
                  <w:pPr>
                    <w:pStyle w:val="39"/>
                    <w:bidi w:val="0"/>
                    <w:ind w:firstLine="0"/>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噪声</w:t>
                  </w:r>
                </w:p>
              </w:tc>
              <w:tc>
                <w:tcPr>
                  <w:tcW w:w="1478" w:type="dxa"/>
                  <w:noWrap w:val="0"/>
                  <w:vAlign w:val="center"/>
                </w:tcPr>
                <w:p>
                  <w:pPr>
                    <w:pStyle w:val="39"/>
                    <w:bidi w:val="0"/>
                    <w:ind w:firstLine="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生产设备</w:t>
                  </w:r>
                </w:p>
              </w:tc>
              <w:tc>
                <w:tcPr>
                  <w:tcW w:w="1919" w:type="dxa"/>
                  <w:noWrap w:val="0"/>
                  <w:vAlign w:val="center"/>
                </w:tcPr>
                <w:p>
                  <w:pPr>
                    <w:pStyle w:val="39"/>
                    <w:bidi w:val="0"/>
                    <w:ind w:firstLine="0"/>
                    <w:rPr>
                      <w:rFonts w:hint="default" w:ascii="Times New Roman" w:hAnsi="Times New Roman" w:eastAsia="宋体" w:cs="Times New Roman"/>
                      <w:color w:val="auto"/>
                      <w:highlight w:val="none"/>
                    </w:rPr>
                  </w:pPr>
                  <w:r>
                    <w:rPr>
                      <w:rFonts w:hint="default" w:ascii="Times New Roman" w:hAnsi="Times New Roman" w:cs="Times New Roman"/>
                      <w:color w:val="auto"/>
                      <w:szCs w:val="18"/>
                      <w:highlight w:val="none"/>
                    </w:rPr>
                    <w:t>Leq(A)</w:t>
                  </w:r>
                </w:p>
              </w:tc>
              <w:tc>
                <w:tcPr>
                  <w:tcW w:w="3916"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基础减震、厂房隔声、距离衰减</w:t>
                  </w:r>
                </w:p>
              </w:tc>
            </w:tr>
            <w:tr>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005" w:type="dxa"/>
                  <w:noWrap w:val="0"/>
                  <w:vAlign w:val="center"/>
                </w:tcPr>
                <w:p>
                  <w:pPr>
                    <w:pStyle w:val="39"/>
                    <w:bidi w:val="0"/>
                    <w:ind w:firstLine="0"/>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val="en-US" w:eastAsia="zh-CN"/>
                    </w:rPr>
                    <w:t>一般工业固废</w:t>
                  </w:r>
                </w:p>
              </w:tc>
              <w:tc>
                <w:tcPr>
                  <w:tcW w:w="1478" w:type="dxa"/>
                  <w:noWrap w:val="0"/>
                  <w:vAlign w:val="center"/>
                </w:tcPr>
                <w:p>
                  <w:pPr>
                    <w:pStyle w:val="39"/>
                    <w:bidi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钢板加工</w:t>
                  </w:r>
                </w:p>
              </w:tc>
              <w:tc>
                <w:tcPr>
                  <w:tcW w:w="1919"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废边角料</w:t>
                  </w:r>
                </w:p>
              </w:tc>
              <w:tc>
                <w:tcPr>
                  <w:tcW w:w="3916" w:type="dxa"/>
                  <w:noWrap w:val="0"/>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统一收集、全部外售</w:t>
                  </w:r>
                </w:p>
              </w:tc>
            </w:tr>
            <w:tr>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005" w:type="dxa"/>
                  <w:vMerge w:val="restart"/>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危险废物</w:t>
                  </w:r>
                </w:p>
              </w:tc>
              <w:tc>
                <w:tcPr>
                  <w:tcW w:w="1478" w:type="dxa"/>
                  <w:vMerge w:val="restart"/>
                  <w:vAlign w:val="center"/>
                </w:tcPr>
                <w:p>
                  <w:pPr>
                    <w:pStyle w:val="39"/>
                    <w:bidi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轮毂</w:t>
                  </w:r>
                  <w:r>
                    <w:rPr>
                      <w:rFonts w:hint="eastAsia" w:cs="Times New Roman"/>
                      <w:color w:val="auto"/>
                      <w:kern w:val="0"/>
                      <w:sz w:val="21"/>
                      <w:szCs w:val="21"/>
                      <w:highlight w:val="none"/>
                      <w:lang w:val="en-US" w:eastAsia="zh-CN" w:bidi="ar-SA"/>
                    </w:rPr>
                    <w:t>及铝制品</w:t>
                  </w:r>
                  <w:r>
                    <w:rPr>
                      <w:rFonts w:hint="eastAsia" w:ascii="Times New Roman" w:hAnsi="Times New Roman" w:eastAsia="宋体" w:cs="Times New Roman"/>
                      <w:color w:val="auto"/>
                      <w:kern w:val="0"/>
                      <w:sz w:val="21"/>
                      <w:szCs w:val="21"/>
                      <w:highlight w:val="none"/>
                      <w:lang w:val="en-US" w:eastAsia="zh-CN" w:bidi="ar-SA"/>
                    </w:rPr>
                    <w:t>加工</w:t>
                  </w:r>
                </w:p>
              </w:tc>
              <w:tc>
                <w:tcPr>
                  <w:tcW w:w="0" w:type="auto"/>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废导轨油桶、废切削液桶</w:t>
                  </w:r>
                  <w:r>
                    <w:rPr>
                      <w:rFonts w:hint="eastAsia" w:ascii="Times New Roman" w:hAnsi="Times New Roman" w:cs="Times New Roman"/>
                      <w:color w:val="auto"/>
                      <w:highlight w:val="none"/>
                      <w:lang w:val="en-US" w:eastAsia="zh-CN"/>
                    </w:rPr>
                    <w:t>、废切削液</w:t>
                  </w:r>
                </w:p>
              </w:tc>
              <w:tc>
                <w:tcPr>
                  <w:tcW w:w="0" w:type="auto"/>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highlight w:val="none"/>
                      <w:lang w:val="en-US" w:eastAsia="zh-CN"/>
                    </w:rPr>
                    <w:t>存于原有危废间内，由有资质单位定期运输并处置</w:t>
                  </w:r>
                </w:p>
              </w:tc>
            </w:tr>
            <w:tr>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005" w:type="dxa"/>
                  <w:vMerge w:val="continue"/>
                  <w:vAlign w:val="center"/>
                </w:tcPr>
                <w:p>
                  <w:pPr>
                    <w:pStyle w:val="39"/>
                    <w:bidi w:val="0"/>
                    <w:ind w:firstLine="0"/>
                    <w:rPr>
                      <w:rFonts w:hint="default" w:ascii="Times New Roman" w:hAnsi="Times New Roman" w:eastAsia="宋体" w:cs="Times New Roman"/>
                      <w:color w:val="auto"/>
                      <w:highlight w:val="none"/>
                    </w:rPr>
                  </w:pPr>
                </w:p>
              </w:tc>
              <w:tc>
                <w:tcPr>
                  <w:tcW w:w="1478" w:type="dxa"/>
                  <w:vMerge w:val="continue"/>
                  <w:vAlign w:val="center"/>
                </w:tcPr>
                <w:p>
                  <w:pPr>
                    <w:pStyle w:val="39"/>
                    <w:bidi w:val="0"/>
                    <w:ind w:firstLine="0" w:firstLineChars="0"/>
                    <w:rPr>
                      <w:rFonts w:hint="default" w:ascii="Times New Roman" w:hAnsi="Times New Roman" w:eastAsia="宋体" w:cs="Times New Roman"/>
                      <w:color w:val="auto"/>
                      <w:kern w:val="0"/>
                      <w:sz w:val="21"/>
                      <w:szCs w:val="21"/>
                      <w:highlight w:val="none"/>
                      <w:lang w:val="en-US" w:eastAsia="zh-CN" w:bidi="ar-SA"/>
                    </w:rPr>
                  </w:pPr>
                </w:p>
              </w:tc>
              <w:tc>
                <w:tcPr>
                  <w:tcW w:w="0" w:type="auto"/>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废含切削液金属屑</w:t>
                  </w:r>
                </w:p>
              </w:tc>
              <w:tc>
                <w:tcPr>
                  <w:tcW w:w="0" w:type="auto"/>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highlight w:val="none"/>
                      <w:lang w:val="en-US" w:eastAsia="zh-CN"/>
                    </w:rPr>
                    <w:t>在危废间内进行沥干，切削液回用于生产，金属屑变成静置后无滴</w:t>
                  </w:r>
                  <w:r>
                    <w:rPr>
                      <w:rFonts w:hint="eastAsia" w:ascii="Times New Roman" w:hAnsi="Times New Roman" w:eastAsia="宋体" w:cs="Times New Roman"/>
                      <w:color w:val="auto"/>
                      <w:highlight w:val="none"/>
                      <w:lang w:val="en-US" w:eastAsia="zh-CN"/>
                    </w:rPr>
                    <w:t>漏状态后，存放于危废间内，由相应有能力利用厂家综合利用</w:t>
                  </w:r>
                </w:p>
              </w:tc>
            </w:tr>
          </w:tbl>
          <w:p>
            <w:pPr>
              <w:bidi w:val="0"/>
              <w:ind w:left="0" w:leftChars="0" w:firstLine="0" w:firstLineChars="0"/>
              <w:rPr>
                <w:rFonts w:hint="default" w:ascii="Times New Roman" w:hAnsi="Times New Roman" w:cs="Times New Roman"/>
                <w:color w:val="auto"/>
                <w:highlight w:val="none"/>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97" w:hRule="atLeast"/>
          <w:jc w:val="center"/>
        </w:trPr>
        <w:tc>
          <w:tcPr>
            <w:tcW w:w="527" w:type="dxa"/>
            <w:vAlign w:val="center"/>
          </w:tcPr>
          <w:p>
            <w:pPr>
              <w:ind w:left="0" w:leftChars="0" w:firstLine="0" w:firstLineChars="0"/>
              <w:rPr>
                <w:rFonts w:hint="default" w:ascii="Times New Roman" w:hAnsi="Times New Roman" w:cs="Times New Roman"/>
                <w:color w:val="auto"/>
                <w:highlight w:val="none"/>
              </w:rPr>
            </w:pPr>
            <w:r>
              <w:rPr>
                <w:rFonts w:hint="default" w:ascii="Times New Roman" w:hAnsi="Times New Roman" w:eastAsia="宋体" w:cs="Times New Roman"/>
                <w:b/>
                <w:color w:val="auto"/>
                <w:kern w:val="2"/>
                <w:sz w:val="24"/>
                <w:szCs w:val="24"/>
                <w:highlight w:val="none"/>
                <w:lang w:val="en-US" w:eastAsia="zh-CN" w:bidi="ar-SA"/>
              </w:rPr>
              <w:t>与项目有关的原有环境污染问题</w:t>
            </w:r>
          </w:p>
        </w:tc>
        <w:tc>
          <w:tcPr>
            <w:tcW w:w="8544" w:type="dxa"/>
          </w:tcPr>
          <w:p>
            <w:pPr>
              <w:pStyle w:val="7"/>
              <w:outlineLvl w:val="2"/>
              <w:rPr>
                <w:color w:val="auto"/>
                <w:highlight w:val="none"/>
              </w:rPr>
            </w:pPr>
            <w:r>
              <w:rPr>
                <w:color w:val="auto"/>
                <w:highlight w:val="none"/>
              </w:rPr>
              <w:t>1 企业已有的环保手续</w:t>
            </w:r>
          </w:p>
          <w:p>
            <w:pPr>
              <w:adjustRightInd w:val="0"/>
              <w:ind w:firstLine="480" w:firstLineChars="200"/>
              <w:textAlignment w:val="baseline"/>
              <w:rPr>
                <w:color w:val="auto"/>
                <w:highlight w:val="none"/>
              </w:rPr>
            </w:pPr>
            <w:r>
              <w:rPr>
                <w:color w:val="auto"/>
                <w:highlight w:val="none"/>
              </w:rPr>
              <w:t>建设单位环评批复及环保验收</w:t>
            </w:r>
            <w:r>
              <w:rPr>
                <w:rFonts w:hint="eastAsia"/>
                <w:color w:val="auto"/>
                <w:highlight w:val="none"/>
                <w:lang w:val="en-US" w:eastAsia="zh-CN"/>
              </w:rPr>
              <w:t>等</w:t>
            </w:r>
            <w:r>
              <w:rPr>
                <w:color w:val="auto"/>
                <w:highlight w:val="none"/>
              </w:rPr>
              <w:t>情况见下表，相关证明文件见附件。</w:t>
            </w:r>
          </w:p>
          <w:p>
            <w:pPr>
              <w:pStyle w:val="45"/>
              <w:ind w:left="482" w:hanging="482"/>
              <w:rPr>
                <w:color w:val="auto"/>
                <w:highlight w:val="none"/>
              </w:rPr>
            </w:pPr>
            <w:r>
              <w:rPr>
                <w:color w:val="auto"/>
                <w:highlight w:val="none"/>
              </w:rPr>
              <w:t>表</w:t>
            </w:r>
            <w:r>
              <w:rPr>
                <w:rFonts w:hint="eastAsia"/>
                <w:color w:val="auto"/>
                <w:highlight w:val="none"/>
                <w:lang w:val="en-US" w:eastAsia="zh-CN"/>
              </w:rPr>
              <w:t>2-9</w:t>
            </w:r>
            <w:r>
              <w:rPr>
                <w:color w:val="auto"/>
                <w:highlight w:val="none"/>
              </w:rPr>
              <w:t xml:space="preserve">  现有工程主要建设内容及环评批复、验收情况</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5"/>
              <w:gridCol w:w="1868"/>
              <w:gridCol w:w="2152"/>
              <w:gridCol w:w="1544"/>
              <w:gridCol w:w="1352"/>
              <w:gridCol w:w="10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5" w:type="dxa"/>
                  <w:vAlign w:val="center"/>
                </w:tcPr>
                <w:p>
                  <w:pPr>
                    <w:pStyle w:val="63"/>
                    <w:rPr>
                      <w:rFonts w:ascii="Times New Roman" w:hAnsi="Times New Roman"/>
                      <w:color w:val="auto"/>
                      <w:highlight w:val="none"/>
                    </w:rPr>
                  </w:pPr>
                  <w:r>
                    <w:rPr>
                      <w:rFonts w:hint="eastAsia" w:ascii="Times New Roman" w:hAnsi="Times New Roman"/>
                      <w:color w:val="auto"/>
                      <w:highlight w:val="none"/>
                    </w:rPr>
                    <w:t>序号</w:t>
                  </w:r>
                </w:p>
              </w:tc>
              <w:tc>
                <w:tcPr>
                  <w:tcW w:w="1868" w:type="dxa"/>
                  <w:vAlign w:val="center"/>
                </w:tcPr>
                <w:p>
                  <w:pPr>
                    <w:pStyle w:val="63"/>
                    <w:rPr>
                      <w:rFonts w:ascii="Times New Roman" w:hAnsi="Times New Roman"/>
                      <w:color w:val="auto"/>
                      <w:highlight w:val="none"/>
                    </w:rPr>
                  </w:pPr>
                  <w:r>
                    <w:rPr>
                      <w:rFonts w:hint="eastAsia" w:ascii="Times New Roman" w:hAnsi="Times New Roman"/>
                      <w:color w:val="auto"/>
                      <w:highlight w:val="none"/>
                    </w:rPr>
                    <w:t>报告名称</w:t>
                  </w:r>
                </w:p>
              </w:tc>
              <w:tc>
                <w:tcPr>
                  <w:tcW w:w="2152" w:type="dxa"/>
                  <w:vAlign w:val="center"/>
                </w:tcPr>
                <w:p>
                  <w:pPr>
                    <w:pStyle w:val="63"/>
                    <w:rPr>
                      <w:rFonts w:ascii="Times New Roman" w:hAnsi="Times New Roman"/>
                      <w:color w:val="auto"/>
                      <w:highlight w:val="none"/>
                    </w:rPr>
                  </w:pPr>
                  <w:r>
                    <w:rPr>
                      <w:rFonts w:hint="eastAsia" w:ascii="Times New Roman" w:hAnsi="Times New Roman"/>
                      <w:color w:val="auto"/>
                      <w:highlight w:val="none"/>
                    </w:rPr>
                    <w:t>批复部门</w:t>
                  </w:r>
                </w:p>
              </w:tc>
              <w:tc>
                <w:tcPr>
                  <w:tcW w:w="1544" w:type="dxa"/>
                  <w:vAlign w:val="center"/>
                </w:tcPr>
                <w:p>
                  <w:pPr>
                    <w:pStyle w:val="63"/>
                    <w:rPr>
                      <w:rFonts w:ascii="Times New Roman" w:hAnsi="Times New Roman"/>
                      <w:color w:val="auto"/>
                      <w:highlight w:val="none"/>
                    </w:rPr>
                  </w:pPr>
                  <w:r>
                    <w:rPr>
                      <w:rFonts w:hint="eastAsia" w:ascii="Times New Roman" w:hAnsi="Times New Roman"/>
                      <w:color w:val="auto"/>
                      <w:highlight w:val="none"/>
                    </w:rPr>
                    <w:t>批复文件</w:t>
                  </w:r>
                </w:p>
              </w:tc>
              <w:tc>
                <w:tcPr>
                  <w:tcW w:w="1352" w:type="dxa"/>
                  <w:vAlign w:val="center"/>
                </w:tcPr>
                <w:p>
                  <w:pPr>
                    <w:pStyle w:val="63"/>
                    <w:rPr>
                      <w:rFonts w:ascii="Times New Roman" w:hAnsi="Times New Roman"/>
                      <w:color w:val="auto"/>
                      <w:highlight w:val="none"/>
                    </w:rPr>
                  </w:pPr>
                  <w:r>
                    <w:rPr>
                      <w:rFonts w:hint="eastAsia" w:ascii="Times New Roman" w:hAnsi="Times New Roman"/>
                      <w:color w:val="auto"/>
                      <w:highlight w:val="none"/>
                    </w:rPr>
                    <w:t>验收部门</w:t>
                  </w:r>
                </w:p>
              </w:tc>
              <w:tc>
                <w:tcPr>
                  <w:tcW w:w="1017" w:type="dxa"/>
                  <w:vAlign w:val="center"/>
                </w:tcPr>
                <w:p>
                  <w:pPr>
                    <w:pStyle w:val="63"/>
                    <w:rPr>
                      <w:rFonts w:ascii="Times New Roman" w:hAnsi="Times New Roman"/>
                      <w:color w:val="auto"/>
                      <w:highlight w:val="none"/>
                    </w:rPr>
                  </w:pPr>
                  <w:r>
                    <w:rPr>
                      <w:rFonts w:hint="eastAsia" w:ascii="Times New Roman" w:hAnsi="Times New Roman"/>
                      <w:color w:val="auto"/>
                      <w:highlight w:val="none"/>
                    </w:rPr>
                    <w:t>验收文件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5" w:type="dxa"/>
                  <w:vAlign w:val="center"/>
                </w:tcPr>
                <w:p>
                  <w:pPr>
                    <w:pStyle w:val="63"/>
                    <w:rPr>
                      <w:rFonts w:ascii="Times New Roman" w:hAnsi="Times New Roman"/>
                      <w:color w:val="auto"/>
                      <w:highlight w:val="none"/>
                    </w:rPr>
                  </w:pPr>
                  <w:r>
                    <w:rPr>
                      <w:rFonts w:hint="eastAsia" w:ascii="Times New Roman" w:hAnsi="Times New Roman"/>
                      <w:color w:val="auto"/>
                      <w:highlight w:val="none"/>
                    </w:rPr>
                    <w:t>1</w:t>
                  </w:r>
                </w:p>
              </w:tc>
              <w:tc>
                <w:tcPr>
                  <w:tcW w:w="1868" w:type="dxa"/>
                  <w:vAlign w:val="center"/>
                </w:tcPr>
                <w:p>
                  <w:pPr>
                    <w:pStyle w:val="63"/>
                    <w:rPr>
                      <w:rFonts w:ascii="Times New Roman" w:hAnsi="Times New Roman"/>
                      <w:color w:val="auto"/>
                      <w:highlight w:val="none"/>
                    </w:rPr>
                  </w:pPr>
                  <w:r>
                    <w:rPr>
                      <w:rFonts w:hint="eastAsia" w:ascii="Times New Roman" w:hAnsi="Times New Roman" w:eastAsia="宋体" w:cs="Times New Roman"/>
                      <w:color w:val="auto"/>
                      <w:highlight w:val="none"/>
                      <w:lang w:val="en-US" w:eastAsia="zh-CN"/>
                    </w:rPr>
                    <w:t>建设项目环境影响登记表</w:t>
                  </w:r>
                </w:p>
              </w:tc>
              <w:tc>
                <w:tcPr>
                  <w:tcW w:w="2152" w:type="dxa"/>
                  <w:vAlign w:val="center"/>
                </w:tcPr>
                <w:p>
                  <w:pPr>
                    <w:pStyle w:val="63"/>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color w:val="auto"/>
                      <w:highlight w:val="none"/>
                      <w:lang w:val="en-US" w:eastAsia="zh-CN"/>
                    </w:rPr>
                    <w:t>原</w:t>
                  </w:r>
                  <w:r>
                    <w:rPr>
                      <w:rFonts w:hint="eastAsia" w:ascii="Times New Roman" w:hAnsi="Times New Roman"/>
                      <w:color w:val="auto"/>
                      <w:highlight w:val="none"/>
                    </w:rPr>
                    <w:t>秦皇岛经济技术开发区</w:t>
                  </w:r>
                  <w:r>
                    <w:rPr>
                      <w:rFonts w:hint="eastAsia" w:ascii="Times New Roman" w:hAnsi="Times New Roman"/>
                      <w:color w:val="auto"/>
                      <w:highlight w:val="none"/>
                      <w:lang w:val="en-US" w:eastAsia="zh-CN"/>
                    </w:rPr>
                    <w:t>环保局</w:t>
                  </w:r>
                </w:p>
              </w:tc>
              <w:tc>
                <w:tcPr>
                  <w:tcW w:w="1544" w:type="dxa"/>
                  <w:vAlign w:val="center"/>
                </w:tcPr>
                <w:p>
                  <w:pPr>
                    <w:pStyle w:val="63"/>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olor w:val="auto"/>
                      <w:highlight w:val="none"/>
                      <w:lang w:val="en-US" w:eastAsia="zh-CN"/>
                    </w:rPr>
                    <w:t>/</w:t>
                  </w:r>
                </w:p>
              </w:tc>
              <w:tc>
                <w:tcPr>
                  <w:tcW w:w="1352"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olor w:val="auto"/>
                      <w:highlight w:val="none"/>
                      <w:lang w:val="en-US" w:eastAsia="zh-CN"/>
                    </w:rPr>
                    <w:t>原</w:t>
                  </w:r>
                  <w:r>
                    <w:rPr>
                      <w:rFonts w:hint="eastAsia" w:ascii="Times New Roman" w:hAnsi="Times New Roman"/>
                      <w:color w:val="auto"/>
                      <w:highlight w:val="none"/>
                    </w:rPr>
                    <w:t>秦皇岛经济技术开发区</w:t>
                  </w:r>
                  <w:r>
                    <w:rPr>
                      <w:rFonts w:hint="eastAsia" w:ascii="Times New Roman" w:hAnsi="Times New Roman"/>
                      <w:color w:val="auto"/>
                      <w:highlight w:val="none"/>
                      <w:lang w:val="en-US" w:eastAsia="zh-CN"/>
                    </w:rPr>
                    <w:t>环保局</w:t>
                  </w:r>
                </w:p>
              </w:tc>
              <w:tc>
                <w:tcPr>
                  <w:tcW w:w="1017"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olor w:val="auto"/>
                      <w:highlight w:val="none"/>
                      <w:lang w:val="en-US" w:eastAsia="zh-CN"/>
                    </w:rPr>
                    <w:t>验收备案表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5" w:type="dxa"/>
                  <w:vAlign w:val="center"/>
                </w:tcPr>
                <w:p>
                  <w:pPr>
                    <w:pStyle w:val="63"/>
                    <w:rPr>
                      <w:rFonts w:hint="eastAsia" w:ascii="Times New Roman" w:hAnsi="Times New Roman" w:eastAsia="宋体"/>
                      <w:color w:val="auto"/>
                      <w:highlight w:val="none"/>
                      <w:lang w:val="en-US" w:eastAsia="zh-CN"/>
                    </w:rPr>
                  </w:pPr>
                  <w:r>
                    <w:rPr>
                      <w:rFonts w:hint="eastAsia" w:ascii="Times New Roman" w:hAnsi="Times New Roman"/>
                      <w:color w:val="auto"/>
                      <w:highlight w:val="none"/>
                      <w:lang w:val="en-US" w:eastAsia="zh-CN"/>
                    </w:rPr>
                    <w:t>2</w:t>
                  </w:r>
                </w:p>
              </w:tc>
              <w:tc>
                <w:tcPr>
                  <w:tcW w:w="1868" w:type="dxa"/>
                  <w:vAlign w:val="center"/>
                </w:tcPr>
                <w:p>
                  <w:pPr>
                    <w:pStyle w:val="63"/>
                    <w:rPr>
                      <w:rFonts w:hint="eastAsia" w:ascii="Times New Roman" w:hAnsi="Times New Roman"/>
                      <w:color w:val="auto"/>
                      <w:highlight w:val="none"/>
                    </w:rPr>
                  </w:pPr>
                  <w:r>
                    <w:rPr>
                      <w:rFonts w:hint="eastAsia" w:ascii="Times New Roman" w:hAnsi="Times New Roman" w:eastAsia="宋体" w:cs="Times New Roman"/>
                      <w:color w:val="auto"/>
                      <w:highlight w:val="none"/>
                      <w:lang w:val="en-US" w:eastAsia="zh-CN"/>
                    </w:rPr>
                    <w:t>新增耐火材料热砂芯项目</w:t>
                  </w:r>
                </w:p>
              </w:tc>
              <w:tc>
                <w:tcPr>
                  <w:tcW w:w="2152" w:type="dxa"/>
                  <w:vAlign w:val="center"/>
                </w:tcPr>
                <w:p>
                  <w:pPr>
                    <w:pStyle w:val="63"/>
                    <w:rPr>
                      <w:rFonts w:hint="eastAsia" w:ascii="Times New Roman" w:hAnsi="Times New Roman"/>
                      <w:color w:val="auto"/>
                      <w:highlight w:val="none"/>
                    </w:rPr>
                  </w:pPr>
                  <w:r>
                    <w:rPr>
                      <w:rFonts w:hint="eastAsia" w:ascii="Times New Roman" w:hAnsi="Times New Roman" w:eastAsia="宋体" w:cs="Times New Roman"/>
                      <w:color w:val="auto"/>
                      <w:highlight w:val="none"/>
                      <w:lang w:val="en-US" w:eastAsia="zh-CN"/>
                    </w:rPr>
                    <w:t>秦皇岛市生态环境局经济技术开发区分局</w:t>
                  </w:r>
                </w:p>
              </w:tc>
              <w:tc>
                <w:tcPr>
                  <w:tcW w:w="1544" w:type="dxa"/>
                  <w:vAlign w:val="center"/>
                </w:tcPr>
                <w:p>
                  <w:pPr>
                    <w:pStyle w:val="63"/>
                    <w:rPr>
                      <w:rFonts w:hint="eastAsia" w:ascii="Times New Roman" w:hAnsi="Times New Roman"/>
                      <w:color w:val="auto"/>
                      <w:highlight w:val="none"/>
                    </w:rPr>
                  </w:pPr>
                  <w:r>
                    <w:rPr>
                      <w:rFonts w:hint="eastAsia" w:ascii="Times New Roman" w:hAnsi="Times New Roman" w:eastAsia="宋体" w:cs="Times New Roman"/>
                      <w:color w:val="auto"/>
                      <w:highlight w:val="none"/>
                      <w:lang w:val="en-US" w:eastAsia="zh-CN"/>
                    </w:rPr>
                    <w:t>秦开环建表[2020]第05号</w:t>
                  </w:r>
                </w:p>
              </w:tc>
              <w:tc>
                <w:tcPr>
                  <w:tcW w:w="1352" w:type="dxa"/>
                  <w:vAlign w:val="center"/>
                </w:tcPr>
                <w:p>
                  <w:pPr>
                    <w:pStyle w:val="63"/>
                    <w:rPr>
                      <w:rFonts w:hint="eastAsia" w:ascii="Times New Roman" w:hAnsi="Times New Roman"/>
                      <w:color w:val="auto"/>
                      <w:highlight w:val="none"/>
                      <w:lang w:val="en-US" w:eastAsia="zh-CN"/>
                    </w:rPr>
                  </w:pPr>
                  <w:r>
                    <w:rPr>
                      <w:rFonts w:hint="eastAsia" w:ascii="Times New Roman" w:hAnsi="Times New Roman" w:eastAsia="宋体" w:cs="Times New Roman"/>
                      <w:color w:val="auto"/>
                      <w:highlight w:val="none"/>
                      <w:lang w:val="en-US" w:eastAsia="zh-CN"/>
                    </w:rPr>
                    <w:t>自主验收</w:t>
                  </w:r>
                </w:p>
              </w:tc>
              <w:tc>
                <w:tcPr>
                  <w:tcW w:w="1017" w:type="dxa"/>
                  <w:vAlign w:val="center"/>
                </w:tcPr>
                <w:p>
                  <w:pPr>
                    <w:pStyle w:val="63"/>
                    <w:rPr>
                      <w:rFonts w:hint="eastAsia" w:ascii="Times New Roman" w:hAnsi="Times New Roman"/>
                      <w:color w:val="auto"/>
                      <w:highlight w:val="none"/>
                      <w:lang w:val="en-US" w:eastAsia="zh-CN"/>
                    </w:rPr>
                  </w:pPr>
                  <w:r>
                    <w:rPr>
                      <w:rFonts w:hint="eastAsia" w:ascii="Times New Roman" w:hAnsi="Times New Roman" w:eastAsia="宋体" w:cs="Times New Roman"/>
                      <w:color w:val="auto"/>
                      <w:highlight w:val="none"/>
                      <w:lang w:val="en-US" w:eastAsia="zh-CN"/>
                    </w:rPr>
                    <w:t>2020年5月7日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5" w:type="dxa"/>
                  <w:vAlign w:val="center"/>
                </w:tcPr>
                <w:p>
                  <w:pPr>
                    <w:pStyle w:val="63"/>
                    <w:rPr>
                      <w:rFonts w:hint="default" w:ascii="Times New Roman" w:hAnsi="Times New Roman"/>
                      <w:color w:val="auto"/>
                      <w:highlight w:val="none"/>
                      <w:lang w:val="en-US" w:eastAsia="zh-CN"/>
                    </w:rPr>
                  </w:pPr>
                  <w:r>
                    <w:rPr>
                      <w:rFonts w:hint="eastAsia" w:ascii="Times New Roman" w:hAnsi="Times New Roman"/>
                      <w:color w:val="auto"/>
                      <w:highlight w:val="none"/>
                      <w:lang w:val="en-US" w:eastAsia="zh-CN"/>
                    </w:rPr>
                    <w:t>3</w:t>
                  </w:r>
                </w:p>
              </w:tc>
              <w:tc>
                <w:tcPr>
                  <w:tcW w:w="1868" w:type="dxa"/>
                  <w:vAlign w:val="center"/>
                </w:tcPr>
                <w:p>
                  <w:pPr>
                    <w:pStyle w:val="63"/>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废气治理设施改造项目环境影响登记表</w:t>
                  </w:r>
                </w:p>
              </w:tc>
              <w:tc>
                <w:tcPr>
                  <w:tcW w:w="6065" w:type="dxa"/>
                  <w:gridSpan w:val="4"/>
                  <w:vAlign w:val="center"/>
                </w:tcPr>
                <w:p>
                  <w:pPr>
                    <w:pStyle w:val="63"/>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备案编号：202313037100000055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5" w:type="dxa"/>
                  <w:vAlign w:val="center"/>
                </w:tcPr>
                <w:p>
                  <w:pPr>
                    <w:pStyle w:val="63"/>
                    <w:rPr>
                      <w:rFonts w:hint="default" w:ascii="Times New Roman" w:hAnsi="Times New Roman"/>
                      <w:color w:val="auto"/>
                      <w:highlight w:val="none"/>
                      <w:lang w:val="en-US" w:eastAsia="zh-CN"/>
                    </w:rPr>
                  </w:pPr>
                  <w:r>
                    <w:rPr>
                      <w:rFonts w:hint="eastAsia" w:ascii="Times New Roman" w:hAnsi="Times New Roman"/>
                      <w:color w:val="auto"/>
                      <w:highlight w:val="none"/>
                      <w:lang w:val="en-US" w:eastAsia="zh-CN"/>
                    </w:rPr>
                    <w:t>4</w:t>
                  </w:r>
                </w:p>
              </w:tc>
              <w:tc>
                <w:tcPr>
                  <w:tcW w:w="1868" w:type="dxa"/>
                  <w:vAlign w:val="center"/>
                </w:tcPr>
                <w:p>
                  <w:pPr>
                    <w:pStyle w:val="63"/>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排污许可登记回执</w:t>
                  </w:r>
                </w:p>
              </w:tc>
              <w:tc>
                <w:tcPr>
                  <w:tcW w:w="6065" w:type="dxa"/>
                  <w:gridSpan w:val="4"/>
                  <w:vAlign w:val="center"/>
                </w:tcPr>
                <w:p>
                  <w:pPr>
                    <w:pStyle w:val="63"/>
                    <w:rPr>
                      <w:rFonts w:hint="eastAsia" w:ascii="Times New Roman" w:hAnsi="Times New Roman" w:eastAsia="宋体" w:cs="Times New Roman"/>
                      <w:color w:val="auto"/>
                      <w:highlight w:val="none"/>
                      <w:lang w:val="en-US" w:eastAsia="zh-CN"/>
                    </w:rPr>
                  </w:pPr>
                  <w:r>
                    <w:rPr>
                      <w:rFonts w:hint="eastAsia" w:ascii="宋体" w:hAnsi="宋体" w:cs="宋体"/>
                      <w:color w:val="auto"/>
                      <w:kern w:val="0"/>
                      <w:highlight w:val="none"/>
                      <w:lang w:bidi="ar"/>
                    </w:rPr>
                    <w:t>编号为：</w:t>
                  </w:r>
                  <w:r>
                    <w:rPr>
                      <w:rFonts w:hint="eastAsia"/>
                      <w:color w:val="auto"/>
                      <w:kern w:val="0"/>
                      <w:highlight w:val="none"/>
                      <w:lang w:bidi="ar"/>
                    </w:rPr>
                    <w:t>91130301601152712M001Y</w:t>
                  </w:r>
                  <w:r>
                    <w:rPr>
                      <w:rFonts w:hint="eastAsia"/>
                      <w:color w:val="auto"/>
                      <w:kern w:val="0"/>
                      <w:highlight w:val="none"/>
                      <w:lang w:eastAsia="zh-CN" w:bidi="ar"/>
                    </w:rPr>
                    <w:t>，</w:t>
                  </w:r>
                  <w:r>
                    <w:rPr>
                      <w:rFonts w:hint="eastAsia"/>
                      <w:color w:val="auto"/>
                      <w:kern w:val="0"/>
                      <w:highlight w:val="none"/>
                      <w:lang w:val="en-US" w:eastAsia="zh-CN" w:bidi="ar"/>
                    </w:rPr>
                    <w:t>有效期</w:t>
                  </w:r>
                  <w:r>
                    <w:rPr>
                      <w:color w:val="auto"/>
                      <w:kern w:val="0"/>
                      <w:highlight w:val="none"/>
                      <w:lang w:bidi="ar"/>
                    </w:rPr>
                    <w:t>202</w:t>
                  </w:r>
                  <w:r>
                    <w:rPr>
                      <w:rFonts w:hint="eastAsia"/>
                      <w:color w:val="auto"/>
                      <w:kern w:val="0"/>
                      <w:highlight w:val="none"/>
                      <w:lang w:val="en-US" w:eastAsia="zh-CN" w:bidi="ar"/>
                    </w:rPr>
                    <w:t>0</w:t>
                  </w:r>
                  <w:r>
                    <w:rPr>
                      <w:color w:val="auto"/>
                      <w:kern w:val="0"/>
                      <w:highlight w:val="none"/>
                      <w:lang w:bidi="ar"/>
                    </w:rPr>
                    <w:t xml:space="preserve"> </w:t>
                  </w:r>
                  <w:r>
                    <w:rPr>
                      <w:rFonts w:hint="eastAsia" w:ascii="宋体" w:hAnsi="宋体" w:cs="宋体"/>
                      <w:color w:val="auto"/>
                      <w:kern w:val="0"/>
                      <w:highlight w:val="none"/>
                      <w:lang w:bidi="ar"/>
                    </w:rPr>
                    <w:t xml:space="preserve">年 </w:t>
                  </w:r>
                  <w:r>
                    <w:rPr>
                      <w:rFonts w:hint="eastAsia" w:ascii="宋体" w:hAnsi="宋体" w:cs="宋体"/>
                      <w:color w:val="auto"/>
                      <w:kern w:val="0"/>
                      <w:highlight w:val="none"/>
                      <w:lang w:val="en-US" w:eastAsia="zh-CN" w:bidi="ar"/>
                    </w:rPr>
                    <w:t>5</w:t>
                  </w:r>
                  <w:r>
                    <w:rPr>
                      <w:rFonts w:hint="eastAsia" w:ascii="宋体" w:hAnsi="宋体" w:cs="宋体"/>
                      <w:color w:val="auto"/>
                      <w:kern w:val="0"/>
                      <w:highlight w:val="none"/>
                      <w:lang w:bidi="ar"/>
                    </w:rPr>
                    <w:t xml:space="preserve">月 </w:t>
                  </w:r>
                  <w:r>
                    <w:rPr>
                      <w:rFonts w:hint="eastAsia" w:ascii="宋体" w:hAnsi="宋体" w:cs="宋体"/>
                      <w:color w:val="auto"/>
                      <w:kern w:val="0"/>
                      <w:highlight w:val="none"/>
                      <w:lang w:val="en-US" w:eastAsia="zh-CN" w:bidi="ar"/>
                    </w:rPr>
                    <w:t>7</w:t>
                  </w:r>
                  <w:r>
                    <w:rPr>
                      <w:color w:val="auto"/>
                      <w:kern w:val="0"/>
                      <w:highlight w:val="none"/>
                      <w:lang w:bidi="ar"/>
                    </w:rPr>
                    <w:t xml:space="preserve"> </w:t>
                  </w:r>
                  <w:r>
                    <w:rPr>
                      <w:rFonts w:hint="eastAsia" w:ascii="宋体" w:hAnsi="宋体" w:cs="宋体"/>
                      <w:color w:val="auto"/>
                      <w:kern w:val="0"/>
                      <w:highlight w:val="none"/>
                      <w:lang w:bidi="ar"/>
                    </w:rPr>
                    <w:t>日</w:t>
                  </w:r>
                  <w:r>
                    <w:rPr>
                      <w:rFonts w:hint="eastAsia"/>
                      <w:color w:val="auto"/>
                      <w:kern w:val="0"/>
                      <w:highlight w:val="none"/>
                      <w:lang w:val="en-US" w:eastAsia="zh-CN" w:bidi="ar"/>
                    </w:rPr>
                    <w:t>至2025年5月6日</w:t>
                  </w:r>
                </w:p>
              </w:tc>
            </w:tr>
          </w:tbl>
          <w:p>
            <w:pPr>
              <w:pStyle w:val="7"/>
              <w:outlineLvl w:val="2"/>
              <w:rPr>
                <w:color w:val="auto"/>
                <w:highlight w:val="none"/>
              </w:rPr>
            </w:pPr>
            <w:r>
              <w:rPr>
                <w:color w:val="auto"/>
                <w:highlight w:val="none"/>
              </w:rPr>
              <w:t>2 企业主要污染物排放情况</w:t>
            </w:r>
          </w:p>
          <w:p>
            <w:pPr>
              <w:rPr>
                <w:color w:val="auto"/>
                <w:highlight w:val="none"/>
              </w:rPr>
            </w:pPr>
            <w:r>
              <w:rPr>
                <w:rFonts w:hint="eastAsia" w:ascii="Times New Roman" w:hAnsi="Times New Roman" w:eastAsia="宋体" w:cs="Times New Roman"/>
                <w:color w:val="auto"/>
                <w:highlight w:val="none"/>
              </w:rPr>
              <w:t>根据</w:t>
            </w:r>
            <w:r>
              <w:rPr>
                <w:rFonts w:hint="eastAsia" w:ascii="Times New Roman" w:hAnsi="Times New Roman" w:eastAsia="宋体" w:cs="Times New Roman"/>
                <w:color w:val="auto"/>
                <w:highlight w:val="none"/>
                <w:lang w:val="en-US" w:eastAsia="zh-CN"/>
              </w:rPr>
              <w:t>2022年自行监测报告</w:t>
            </w:r>
            <w:r>
              <w:rPr>
                <w:rFonts w:hint="eastAsia" w:cs="Times New Roman"/>
                <w:color w:val="auto"/>
                <w:highlight w:val="none"/>
                <w:lang w:val="en-US" w:eastAsia="zh-CN"/>
              </w:rPr>
              <w:t>（酝熙WT检字第[202207-65]）</w:t>
            </w:r>
            <w:r>
              <w:rPr>
                <w:rFonts w:hint="eastAsia" w:ascii="Times New Roman" w:hAnsi="Times New Roman" w:eastAsia="宋体" w:cs="Times New Roman"/>
                <w:color w:val="auto"/>
                <w:highlight w:val="none"/>
                <w:lang w:val="en-US" w:eastAsia="zh-CN"/>
              </w:rPr>
              <w:t>以及现有</w:t>
            </w:r>
            <w:r>
              <w:rPr>
                <w:rFonts w:hint="eastAsia"/>
                <w:color w:val="auto"/>
                <w:highlight w:val="none"/>
                <w:lang w:val="en-US" w:eastAsia="zh-CN"/>
              </w:rPr>
              <w:t>环评、验收</w:t>
            </w:r>
            <w:r>
              <w:rPr>
                <w:rFonts w:hint="eastAsia"/>
                <w:color w:val="auto"/>
                <w:highlight w:val="none"/>
              </w:rPr>
              <w:t>得出现有项目污染物排放情况，见下表</w:t>
            </w:r>
            <w:r>
              <w:rPr>
                <w:color w:val="auto"/>
                <w:highlight w:val="none"/>
              </w:rPr>
              <w:t>：</w:t>
            </w:r>
          </w:p>
          <w:p>
            <w:pPr>
              <w:pStyle w:val="45"/>
              <w:ind w:left="482" w:hanging="482"/>
              <w:rPr>
                <w:color w:val="auto"/>
                <w:highlight w:val="none"/>
              </w:rPr>
            </w:pPr>
            <w:r>
              <w:rPr>
                <w:color w:val="auto"/>
                <w:highlight w:val="none"/>
              </w:rPr>
              <w:t>表</w:t>
            </w:r>
            <w:r>
              <w:rPr>
                <w:rFonts w:hint="eastAsia"/>
                <w:color w:val="auto"/>
                <w:highlight w:val="none"/>
                <w:lang w:val="en-US" w:eastAsia="zh-CN"/>
              </w:rPr>
              <w:t xml:space="preserve">2-10 </w:t>
            </w:r>
            <w:r>
              <w:rPr>
                <w:color w:val="auto"/>
                <w:highlight w:val="none"/>
              </w:rPr>
              <w:t xml:space="preserve"> 现有污染物排放情况</w:t>
            </w:r>
          </w:p>
          <w:tbl>
            <w:tblPr>
              <w:tblStyle w:val="31"/>
              <w:tblW w:w="5000" w:type="pct"/>
              <w:jc w:val="center"/>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Layout w:type="fixed"/>
              <w:tblCellMar>
                <w:top w:w="0" w:type="dxa"/>
                <w:left w:w="28" w:type="dxa"/>
                <w:bottom w:w="0" w:type="dxa"/>
                <w:right w:w="28" w:type="dxa"/>
              </w:tblCellMar>
            </w:tblPr>
            <w:tblGrid>
              <w:gridCol w:w="884"/>
              <w:gridCol w:w="1228"/>
              <w:gridCol w:w="2030"/>
              <w:gridCol w:w="1158"/>
              <w:gridCol w:w="1973"/>
              <w:gridCol w:w="1045"/>
            </w:tblGrid>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28" w:type="dxa"/>
                </w:tblCellMar>
              </w:tblPrEx>
              <w:trPr>
                <w:trHeight w:val="340" w:hRule="atLeast"/>
                <w:jc w:val="center"/>
              </w:trPr>
              <w:tc>
                <w:tcPr>
                  <w:tcW w:w="874" w:type="dxa"/>
                  <w:tcBorders>
                    <w:bottom w:val="single" w:color="000000" w:sz="6" w:space="0"/>
                    <w:right w:val="single" w:color="000000" w:sz="6" w:space="0"/>
                  </w:tcBorders>
                </w:tcPr>
                <w:p>
                  <w:pPr>
                    <w:pStyle w:val="63"/>
                    <w:rPr>
                      <w:rFonts w:ascii="Times New Roman" w:hAnsi="Times New Roman"/>
                      <w:color w:val="auto"/>
                      <w:highlight w:val="none"/>
                    </w:rPr>
                  </w:pPr>
                  <w:r>
                    <w:rPr>
                      <w:rFonts w:ascii="Times New Roman" w:hAnsi="Times New Roman"/>
                      <w:color w:val="auto"/>
                      <w:highlight w:val="none"/>
                    </w:rPr>
                    <w:t>内容</w:t>
                  </w:r>
                </w:p>
                <w:p>
                  <w:pPr>
                    <w:pStyle w:val="63"/>
                    <w:rPr>
                      <w:rFonts w:ascii="Times New Roman" w:hAnsi="Times New Roman"/>
                      <w:color w:val="auto"/>
                      <w:highlight w:val="none"/>
                    </w:rPr>
                  </w:pPr>
                  <w:r>
                    <w:rPr>
                      <w:rFonts w:ascii="Times New Roman" w:hAnsi="Times New Roman"/>
                      <w:color w:val="auto"/>
                      <w:highlight w:val="none"/>
                    </w:rPr>
                    <w:t>类型</w:t>
                  </w:r>
                </w:p>
              </w:tc>
              <w:tc>
                <w:tcPr>
                  <w:tcW w:w="1214" w:type="dxa"/>
                  <w:tcBorders>
                    <w:left w:val="single" w:color="000000" w:sz="6" w:space="0"/>
                    <w:bottom w:val="single" w:color="000000" w:sz="6" w:space="0"/>
                    <w:right w:val="single" w:color="000000" w:sz="6" w:space="0"/>
                  </w:tcBorders>
                  <w:vAlign w:val="center"/>
                </w:tcPr>
                <w:p>
                  <w:pPr>
                    <w:pStyle w:val="63"/>
                    <w:rPr>
                      <w:rFonts w:ascii="Times New Roman" w:hAnsi="Times New Roman"/>
                      <w:color w:val="auto"/>
                      <w:highlight w:val="none"/>
                    </w:rPr>
                  </w:pPr>
                  <w:r>
                    <w:rPr>
                      <w:rFonts w:ascii="Times New Roman" w:hAnsi="Times New Roman"/>
                      <w:color w:val="auto"/>
                      <w:highlight w:val="none"/>
                    </w:rPr>
                    <w:t>排放源（编号）</w:t>
                  </w:r>
                </w:p>
              </w:tc>
              <w:tc>
                <w:tcPr>
                  <w:tcW w:w="2006" w:type="dxa"/>
                  <w:tcBorders>
                    <w:left w:val="single" w:color="000000" w:sz="6" w:space="0"/>
                    <w:bottom w:val="single" w:color="000000" w:sz="6" w:space="0"/>
                    <w:right w:val="single" w:color="000000" w:sz="6" w:space="0"/>
                  </w:tcBorders>
                  <w:vAlign w:val="center"/>
                </w:tcPr>
                <w:p>
                  <w:pPr>
                    <w:pStyle w:val="63"/>
                    <w:rPr>
                      <w:rFonts w:ascii="Times New Roman" w:hAnsi="Times New Roman"/>
                      <w:color w:val="auto"/>
                      <w:highlight w:val="none"/>
                    </w:rPr>
                  </w:pPr>
                  <w:r>
                    <w:rPr>
                      <w:rFonts w:ascii="Times New Roman" w:hAnsi="Times New Roman"/>
                      <w:color w:val="auto"/>
                      <w:highlight w:val="none"/>
                    </w:rPr>
                    <w:t>污染物名称</w:t>
                  </w:r>
                </w:p>
              </w:tc>
              <w:tc>
                <w:tcPr>
                  <w:tcW w:w="1144" w:type="dxa"/>
                  <w:tcBorders>
                    <w:left w:val="single" w:color="000000" w:sz="6" w:space="0"/>
                    <w:bottom w:val="single" w:color="000000" w:sz="6" w:space="0"/>
                    <w:right w:val="single" w:color="000000" w:sz="6" w:space="0"/>
                  </w:tcBorders>
                  <w:vAlign w:val="center"/>
                </w:tcPr>
                <w:p>
                  <w:pPr>
                    <w:pStyle w:val="63"/>
                    <w:rPr>
                      <w:rFonts w:hint="default"/>
                      <w:color w:val="auto"/>
                      <w:highlight w:val="none"/>
                      <w:lang w:val="en-US" w:eastAsia="zh-CN"/>
                    </w:rPr>
                  </w:pPr>
                  <w:r>
                    <w:rPr>
                      <w:color w:val="auto"/>
                      <w:highlight w:val="none"/>
                    </w:rPr>
                    <w:t>排放浓度</w:t>
                  </w:r>
                  <w:r>
                    <w:rPr>
                      <w:rFonts w:hint="eastAsia"/>
                      <w:color w:val="auto"/>
                      <w:highlight w:val="none"/>
                      <w:lang w:val="en-US" w:eastAsia="zh-CN"/>
                    </w:rPr>
                    <w:t>mg/m³</w:t>
                  </w:r>
                </w:p>
              </w:tc>
              <w:tc>
                <w:tcPr>
                  <w:tcW w:w="1950" w:type="dxa"/>
                  <w:tcBorders>
                    <w:left w:val="single" w:color="000000" w:sz="6" w:space="0"/>
                    <w:bottom w:val="single" w:color="000000" w:sz="6" w:space="0"/>
                    <w:right w:val="single" w:color="000000" w:sz="6" w:space="0"/>
                  </w:tcBorders>
                  <w:vAlign w:val="center"/>
                </w:tcPr>
                <w:p>
                  <w:pPr>
                    <w:pStyle w:val="63"/>
                    <w:rPr>
                      <w:rFonts w:hint="default" w:ascii="Times New Roman" w:hAnsi="Times New Roman" w:eastAsia="宋体"/>
                      <w:color w:val="auto"/>
                      <w:highlight w:val="none"/>
                      <w:lang w:val="en-US" w:eastAsia="zh-CN"/>
                    </w:rPr>
                  </w:pPr>
                  <w:r>
                    <w:rPr>
                      <w:rFonts w:ascii="Times New Roman" w:hAnsi="Times New Roman"/>
                      <w:color w:val="auto"/>
                      <w:highlight w:val="none"/>
                    </w:rPr>
                    <w:t>排放量</w:t>
                  </w:r>
                  <w:r>
                    <w:rPr>
                      <w:rFonts w:hint="eastAsia" w:ascii="Times New Roman" w:hAnsi="Times New Roman"/>
                      <w:color w:val="auto"/>
                      <w:highlight w:val="none"/>
                      <w:lang w:val="en-US" w:eastAsia="zh-CN"/>
                    </w:rPr>
                    <w:t>t/a</w:t>
                  </w:r>
                </w:p>
              </w:tc>
              <w:tc>
                <w:tcPr>
                  <w:tcW w:w="1032" w:type="dxa"/>
                  <w:tcBorders>
                    <w:left w:val="single" w:color="000000" w:sz="6" w:space="0"/>
                    <w:bottom w:val="single" w:color="000000" w:sz="6" w:space="0"/>
                  </w:tcBorders>
                  <w:vAlign w:val="center"/>
                </w:tcPr>
                <w:p>
                  <w:pPr>
                    <w:pStyle w:val="63"/>
                    <w:rPr>
                      <w:rFonts w:ascii="Times New Roman" w:hAnsi="Times New Roman"/>
                      <w:color w:val="auto"/>
                      <w:highlight w:val="none"/>
                    </w:rPr>
                  </w:pPr>
                  <w:r>
                    <w:rPr>
                      <w:rFonts w:ascii="Times New Roman" w:hAnsi="Times New Roman"/>
                      <w:color w:val="auto"/>
                      <w:highlight w:val="none"/>
                    </w:rPr>
                    <w:t>达标情况</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28" w:type="dxa"/>
                </w:tblCellMar>
              </w:tblPrEx>
              <w:trPr>
                <w:trHeight w:val="340" w:hRule="atLeast"/>
                <w:jc w:val="center"/>
              </w:trPr>
              <w:tc>
                <w:tcPr>
                  <w:tcW w:w="874" w:type="dxa"/>
                  <w:vMerge w:val="restart"/>
                  <w:tcBorders>
                    <w:top w:val="single" w:color="000000" w:sz="6" w:space="0"/>
                    <w:right w:val="single" w:color="000000" w:sz="6" w:space="0"/>
                  </w:tcBorders>
                  <w:vAlign w:val="center"/>
                </w:tcPr>
                <w:p>
                  <w:pPr>
                    <w:pStyle w:val="63"/>
                    <w:rPr>
                      <w:rFonts w:ascii="Times New Roman" w:hAnsi="Times New Roman"/>
                      <w:color w:val="auto"/>
                      <w:highlight w:val="none"/>
                    </w:rPr>
                  </w:pPr>
                  <w:r>
                    <w:rPr>
                      <w:rFonts w:hint="eastAsia" w:ascii="Times New Roman" w:hAnsi="Times New Roman"/>
                      <w:color w:val="auto"/>
                      <w:highlight w:val="none"/>
                    </w:rPr>
                    <w:t>大气污染物</w:t>
                  </w:r>
                </w:p>
              </w:tc>
              <w:tc>
                <w:tcPr>
                  <w:tcW w:w="1214" w:type="dxa"/>
                  <w:vMerge w:val="restart"/>
                  <w:tcBorders>
                    <w:top w:val="single" w:color="000000" w:sz="6" w:space="0"/>
                    <w:left w:val="single" w:color="000000" w:sz="6" w:space="0"/>
                    <w:right w:val="single" w:color="000000" w:sz="6" w:space="0"/>
                  </w:tcBorders>
                  <w:vAlign w:val="center"/>
                </w:tcPr>
                <w:p>
                  <w:pPr>
                    <w:pStyle w:val="63"/>
                    <w:rPr>
                      <w:rFonts w:hint="default" w:ascii="Times New Roman" w:hAnsi="Times New Roman" w:eastAsia="宋体"/>
                      <w:color w:val="auto"/>
                      <w:highlight w:val="none"/>
                      <w:lang w:val="en-US" w:eastAsia="zh-CN"/>
                    </w:rPr>
                  </w:pPr>
                  <w:r>
                    <w:rPr>
                      <w:rFonts w:hint="eastAsia" w:ascii="Times New Roman" w:hAnsi="Times New Roman" w:eastAsia="宋体" w:cs="Times New Roman"/>
                      <w:color w:val="auto"/>
                      <w:highlight w:val="none"/>
                      <w:lang w:val="en-US" w:eastAsia="zh-CN"/>
                    </w:rPr>
                    <w:t>打磨颗粒物</w:t>
                  </w:r>
                </w:p>
              </w:tc>
              <w:tc>
                <w:tcPr>
                  <w:tcW w:w="2006" w:type="dxa"/>
                  <w:tcBorders>
                    <w:top w:val="single" w:color="000000" w:sz="6" w:space="0"/>
                    <w:left w:val="single" w:color="000000" w:sz="6" w:space="0"/>
                    <w:right w:val="single" w:color="000000" w:sz="6" w:space="0"/>
                  </w:tcBorders>
                  <w:vAlign w:val="center"/>
                </w:tcPr>
                <w:p>
                  <w:pPr>
                    <w:pStyle w:val="63"/>
                    <w:rPr>
                      <w:rFonts w:hint="default" w:ascii="Times New Roman" w:hAnsi="Times New Roman"/>
                      <w:color w:val="auto"/>
                      <w:highlight w:val="none"/>
                      <w:lang w:val="en-US" w:eastAsia="zh-CN"/>
                    </w:rPr>
                  </w:pPr>
                  <w:r>
                    <w:rPr>
                      <w:rFonts w:hint="eastAsia" w:ascii="Times New Roman" w:hAnsi="Times New Roman"/>
                      <w:color w:val="auto"/>
                      <w:highlight w:val="none"/>
                      <w:lang w:val="en-US" w:eastAsia="zh-CN"/>
                    </w:rPr>
                    <w:t>流量</w:t>
                  </w:r>
                </w:p>
              </w:tc>
              <w:tc>
                <w:tcPr>
                  <w:tcW w:w="3094" w:type="dxa"/>
                  <w:gridSpan w:val="2"/>
                  <w:tcBorders>
                    <w:top w:val="single" w:color="000000" w:sz="6" w:space="0"/>
                    <w:left w:val="single" w:color="000000" w:sz="6" w:space="0"/>
                    <w:right w:val="single" w:color="000000" w:sz="6" w:space="0"/>
                  </w:tcBorders>
                  <w:vAlign w:val="center"/>
                </w:tcPr>
                <w:p>
                  <w:pPr>
                    <w:pStyle w:val="63"/>
                    <w:rPr>
                      <w:rFonts w:hint="eastAsia" w:ascii="Times New Roman" w:hAnsi="Times New Roman"/>
                      <w:color w:val="auto"/>
                      <w:highlight w:val="none"/>
                      <w:lang w:val="en-US" w:eastAsia="zh-CN"/>
                    </w:rPr>
                  </w:pPr>
                  <w:r>
                    <w:rPr>
                      <w:rFonts w:hint="eastAsia" w:ascii="Times New Roman" w:hAnsi="Times New Roman"/>
                      <w:color w:val="auto"/>
                      <w:highlight w:val="none"/>
                      <w:lang w:val="en-US" w:eastAsia="zh-CN"/>
                    </w:rPr>
                    <w:t>1286m³/h</w:t>
                  </w:r>
                </w:p>
              </w:tc>
              <w:tc>
                <w:tcPr>
                  <w:tcW w:w="1032" w:type="dxa"/>
                  <w:vMerge w:val="restart"/>
                  <w:tcBorders>
                    <w:top w:val="single" w:color="000000" w:sz="6" w:space="0"/>
                    <w:left w:val="single" w:color="000000" w:sz="6" w:space="0"/>
                  </w:tcBorders>
                  <w:vAlign w:val="center"/>
                </w:tcPr>
                <w:p>
                  <w:pPr>
                    <w:pStyle w:val="63"/>
                    <w:rPr>
                      <w:rFonts w:hint="default" w:ascii="Times New Roman" w:hAnsi="Times New Roman" w:eastAsia="宋体"/>
                      <w:color w:val="auto"/>
                      <w:highlight w:val="none"/>
                      <w:lang w:val="en-US" w:eastAsia="zh-CN"/>
                    </w:rPr>
                  </w:pPr>
                  <w:r>
                    <w:rPr>
                      <w:rFonts w:hint="eastAsia" w:ascii="Times New Roman" w:hAnsi="Times New Roman"/>
                      <w:color w:val="auto"/>
                      <w:highlight w:val="none"/>
                      <w:lang w:val="en-US" w:eastAsia="zh-CN"/>
                    </w:rPr>
                    <w:t>达标排放</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28" w:type="dxa"/>
                </w:tblCellMar>
              </w:tblPrEx>
              <w:trPr>
                <w:trHeight w:val="340" w:hRule="atLeast"/>
                <w:jc w:val="center"/>
              </w:trPr>
              <w:tc>
                <w:tcPr>
                  <w:tcW w:w="874" w:type="dxa"/>
                  <w:vMerge w:val="continue"/>
                  <w:tcBorders>
                    <w:right w:val="single" w:color="000000" w:sz="6" w:space="0"/>
                  </w:tcBorders>
                  <w:vAlign w:val="center"/>
                </w:tcPr>
                <w:p>
                  <w:pPr>
                    <w:pStyle w:val="63"/>
                    <w:rPr>
                      <w:rFonts w:ascii="Times New Roman" w:hAnsi="Times New Roman"/>
                      <w:color w:val="auto"/>
                      <w:highlight w:val="none"/>
                    </w:rPr>
                  </w:pPr>
                </w:p>
              </w:tc>
              <w:tc>
                <w:tcPr>
                  <w:tcW w:w="1214" w:type="dxa"/>
                  <w:vMerge w:val="continue"/>
                  <w:tcBorders>
                    <w:left w:val="single" w:color="000000" w:sz="6" w:space="0"/>
                    <w:right w:val="single" w:color="000000" w:sz="6" w:space="0"/>
                  </w:tcBorders>
                  <w:vAlign w:val="center"/>
                </w:tcPr>
                <w:p>
                  <w:pPr>
                    <w:pStyle w:val="63"/>
                    <w:rPr>
                      <w:rFonts w:hint="eastAsia" w:ascii="Times New Roman" w:hAnsi="Times New Roman"/>
                      <w:color w:val="auto"/>
                      <w:highlight w:val="none"/>
                    </w:rPr>
                  </w:pPr>
                </w:p>
              </w:tc>
              <w:tc>
                <w:tcPr>
                  <w:tcW w:w="2006" w:type="dxa"/>
                  <w:tcBorders>
                    <w:top w:val="single" w:color="000000" w:sz="6" w:space="0"/>
                    <w:left w:val="single" w:color="000000" w:sz="6" w:space="0"/>
                    <w:right w:val="single" w:color="000000" w:sz="6" w:space="0"/>
                  </w:tcBorders>
                  <w:vAlign w:val="center"/>
                </w:tcPr>
                <w:p>
                  <w:pPr>
                    <w:pStyle w:val="63"/>
                    <w:rPr>
                      <w:rFonts w:hint="eastAsia" w:ascii="Times New Roman" w:hAnsi="Times New Roman" w:eastAsia="宋体"/>
                      <w:color w:val="auto"/>
                      <w:highlight w:val="none"/>
                      <w:lang w:val="en-US" w:eastAsia="zh-CN"/>
                    </w:rPr>
                  </w:pPr>
                  <w:r>
                    <w:rPr>
                      <w:rFonts w:hint="eastAsia" w:ascii="Times New Roman" w:hAnsi="Times New Roman"/>
                      <w:color w:val="auto"/>
                      <w:highlight w:val="none"/>
                      <w:lang w:val="en-US" w:eastAsia="zh-CN"/>
                    </w:rPr>
                    <w:t>颗粒物</w:t>
                  </w:r>
                </w:p>
              </w:tc>
              <w:tc>
                <w:tcPr>
                  <w:tcW w:w="1144" w:type="dxa"/>
                  <w:tcBorders>
                    <w:top w:val="single" w:color="000000" w:sz="6" w:space="0"/>
                    <w:left w:val="single" w:color="000000" w:sz="6" w:space="0"/>
                    <w:right w:val="single" w:color="000000" w:sz="6" w:space="0"/>
                  </w:tcBorders>
                  <w:vAlign w:val="center"/>
                </w:tcPr>
                <w:p>
                  <w:pPr>
                    <w:pStyle w:val="63"/>
                    <w:rPr>
                      <w:rFonts w:hint="default" w:ascii="Times New Roman" w:hAnsi="Times New Roman" w:eastAsia="宋体"/>
                      <w:color w:val="auto"/>
                      <w:highlight w:val="none"/>
                      <w:lang w:val="en-US" w:eastAsia="zh-CN"/>
                    </w:rPr>
                  </w:pPr>
                  <w:r>
                    <w:rPr>
                      <w:rFonts w:hint="eastAsia" w:ascii="Times New Roman" w:hAnsi="Times New Roman"/>
                      <w:color w:val="auto"/>
                      <w:highlight w:val="none"/>
                      <w:lang w:val="en-US" w:eastAsia="zh-CN"/>
                    </w:rPr>
                    <w:t>3.0</w:t>
                  </w:r>
                </w:p>
              </w:tc>
              <w:tc>
                <w:tcPr>
                  <w:tcW w:w="1950" w:type="dxa"/>
                  <w:tcBorders>
                    <w:top w:val="single" w:color="000000" w:sz="6" w:space="0"/>
                    <w:left w:val="single" w:color="000000" w:sz="6" w:space="0"/>
                    <w:right w:val="single" w:color="000000" w:sz="6" w:space="0"/>
                  </w:tcBorders>
                  <w:vAlign w:val="center"/>
                </w:tcPr>
                <w:p>
                  <w:pPr>
                    <w:pStyle w:val="63"/>
                    <w:rPr>
                      <w:rFonts w:hint="default" w:ascii="Times New Roman" w:hAnsi="Times New Roman" w:eastAsia="宋体"/>
                      <w:color w:val="auto"/>
                      <w:highlight w:val="none"/>
                      <w:lang w:val="en-US" w:eastAsia="zh-CN"/>
                    </w:rPr>
                  </w:pPr>
                  <w:r>
                    <w:rPr>
                      <w:rFonts w:hint="eastAsia" w:ascii="Times New Roman" w:hAnsi="Times New Roman"/>
                      <w:color w:val="auto"/>
                      <w:highlight w:val="none"/>
                      <w:lang w:val="en-US" w:eastAsia="zh-CN"/>
                    </w:rPr>
                    <w:t>0.012</w:t>
                  </w:r>
                </w:p>
              </w:tc>
              <w:tc>
                <w:tcPr>
                  <w:tcW w:w="1032" w:type="dxa"/>
                  <w:vMerge w:val="continue"/>
                  <w:tcBorders>
                    <w:left w:val="single" w:color="000000" w:sz="6" w:space="0"/>
                  </w:tcBorders>
                  <w:vAlign w:val="center"/>
                </w:tcPr>
                <w:p>
                  <w:pPr>
                    <w:pStyle w:val="63"/>
                    <w:rPr>
                      <w:rFonts w:ascii="Times New Roman" w:hAnsi="Times New Roman"/>
                      <w:color w:val="auto"/>
                      <w:highlight w:val="none"/>
                    </w:rPr>
                  </w:pP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28" w:type="dxa"/>
                </w:tblCellMar>
              </w:tblPrEx>
              <w:trPr>
                <w:trHeight w:val="340" w:hRule="atLeast"/>
                <w:jc w:val="center"/>
              </w:trPr>
              <w:tc>
                <w:tcPr>
                  <w:tcW w:w="874" w:type="dxa"/>
                  <w:vMerge w:val="continue"/>
                  <w:tcBorders>
                    <w:right w:val="single" w:color="000000" w:sz="6" w:space="0"/>
                  </w:tcBorders>
                  <w:vAlign w:val="center"/>
                </w:tcPr>
                <w:p>
                  <w:pPr>
                    <w:pStyle w:val="63"/>
                    <w:rPr>
                      <w:rFonts w:ascii="Times New Roman" w:hAnsi="Times New Roman"/>
                      <w:color w:val="auto"/>
                      <w:highlight w:val="none"/>
                    </w:rPr>
                  </w:pPr>
                </w:p>
              </w:tc>
              <w:tc>
                <w:tcPr>
                  <w:tcW w:w="1214" w:type="dxa"/>
                  <w:vMerge w:val="restart"/>
                  <w:tcBorders>
                    <w:top w:val="single" w:color="000000" w:sz="6" w:space="0"/>
                    <w:left w:val="single" w:color="000000" w:sz="6" w:space="0"/>
                    <w:right w:val="single" w:color="000000" w:sz="6" w:space="0"/>
                  </w:tcBorders>
                  <w:vAlign w:val="center"/>
                </w:tcPr>
                <w:p>
                  <w:pPr>
                    <w:pStyle w:val="63"/>
                    <w:rPr>
                      <w:rFonts w:hint="eastAsia" w:ascii="Times New Roman" w:hAnsi="Times New Roman" w:eastAsia="宋体"/>
                      <w:color w:val="auto"/>
                      <w:highlight w:val="none"/>
                      <w:lang w:val="en-US" w:eastAsia="zh-CN"/>
                    </w:rPr>
                  </w:pPr>
                  <w:r>
                    <w:rPr>
                      <w:rFonts w:hint="eastAsia" w:ascii="Times New Roman" w:hAnsi="Times New Roman" w:eastAsia="宋体" w:cs="Times New Roman"/>
                      <w:color w:val="auto"/>
                      <w:highlight w:val="none"/>
                      <w:lang w:val="en-US" w:eastAsia="zh-CN"/>
                    </w:rPr>
                    <w:t>脱模废气</w:t>
                  </w:r>
                </w:p>
              </w:tc>
              <w:tc>
                <w:tcPr>
                  <w:tcW w:w="2006" w:type="dxa"/>
                  <w:tcBorders>
                    <w:top w:val="single" w:color="000000" w:sz="6" w:space="0"/>
                    <w:left w:val="single" w:color="000000" w:sz="6" w:space="0"/>
                    <w:right w:val="single" w:color="000000" w:sz="6" w:space="0"/>
                  </w:tcBorders>
                  <w:vAlign w:val="center"/>
                </w:tcPr>
                <w:p>
                  <w:pPr>
                    <w:pStyle w:val="63"/>
                    <w:rPr>
                      <w:rFonts w:hint="eastAsia" w:ascii="Times New Roman" w:hAnsi="Times New Roman" w:eastAsia="宋体"/>
                      <w:color w:val="auto"/>
                      <w:highlight w:val="none"/>
                      <w:lang w:val="en-US" w:eastAsia="zh-CN"/>
                    </w:rPr>
                  </w:pPr>
                  <w:r>
                    <w:rPr>
                      <w:rFonts w:hint="eastAsia" w:ascii="Times New Roman" w:hAnsi="Times New Roman"/>
                      <w:color w:val="auto"/>
                      <w:highlight w:val="none"/>
                      <w:lang w:val="en-US" w:eastAsia="zh-CN"/>
                    </w:rPr>
                    <w:t>流量</w:t>
                  </w:r>
                </w:p>
              </w:tc>
              <w:tc>
                <w:tcPr>
                  <w:tcW w:w="3094" w:type="dxa"/>
                  <w:gridSpan w:val="2"/>
                  <w:tcBorders>
                    <w:top w:val="single" w:color="000000" w:sz="6" w:space="0"/>
                    <w:left w:val="single" w:color="000000" w:sz="6" w:space="0"/>
                    <w:right w:val="single" w:color="000000" w:sz="6" w:space="0"/>
                  </w:tcBorders>
                  <w:vAlign w:val="center"/>
                </w:tcPr>
                <w:p>
                  <w:pPr>
                    <w:pStyle w:val="63"/>
                    <w:rPr>
                      <w:rFonts w:hint="eastAsia" w:ascii="Times New Roman" w:hAnsi="Times New Roman"/>
                      <w:color w:val="auto"/>
                      <w:highlight w:val="none"/>
                    </w:rPr>
                  </w:pPr>
                  <w:r>
                    <w:rPr>
                      <w:rFonts w:hint="eastAsia" w:ascii="Times New Roman" w:hAnsi="Times New Roman"/>
                      <w:color w:val="auto"/>
                      <w:highlight w:val="none"/>
                      <w:lang w:val="en-US" w:eastAsia="zh-CN"/>
                    </w:rPr>
                    <w:t>1034m³/h</w:t>
                  </w:r>
                </w:p>
              </w:tc>
              <w:tc>
                <w:tcPr>
                  <w:tcW w:w="1032" w:type="dxa"/>
                  <w:vMerge w:val="continue"/>
                  <w:tcBorders>
                    <w:left w:val="single" w:color="000000" w:sz="6" w:space="0"/>
                  </w:tcBorders>
                  <w:vAlign w:val="center"/>
                </w:tcPr>
                <w:p>
                  <w:pPr>
                    <w:pStyle w:val="63"/>
                    <w:rPr>
                      <w:rFonts w:ascii="Times New Roman" w:hAnsi="Times New Roman"/>
                      <w:color w:val="auto"/>
                      <w:highlight w:val="none"/>
                    </w:rPr>
                  </w:pP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28" w:type="dxa"/>
                </w:tblCellMar>
              </w:tblPrEx>
              <w:trPr>
                <w:trHeight w:val="340" w:hRule="atLeast"/>
                <w:jc w:val="center"/>
              </w:trPr>
              <w:tc>
                <w:tcPr>
                  <w:tcW w:w="874" w:type="dxa"/>
                  <w:vMerge w:val="continue"/>
                  <w:tcBorders>
                    <w:right w:val="single" w:color="000000" w:sz="6" w:space="0"/>
                  </w:tcBorders>
                  <w:vAlign w:val="center"/>
                </w:tcPr>
                <w:p>
                  <w:pPr>
                    <w:pStyle w:val="63"/>
                    <w:rPr>
                      <w:rFonts w:ascii="Times New Roman" w:hAnsi="Times New Roman"/>
                      <w:color w:val="auto"/>
                      <w:highlight w:val="none"/>
                    </w:rPr>
                  </w:pPr>
                </w:p>
              </w:tc>
              <w:tc>
                <w:tcPr>
                  <w:tcW w:w="1214" w:type="dxa"/>
                  <w:vMerge w:val="continue"/>
                  <w:tcBorders>
                    <w:left w:val="single" w:color="000000" w:sz="6" w:space="0"/>
                    <w:right w:val="single" w:color="000000" w:sz="6" w:space="0"/>
                  </w:tcBorders>
                  <w:vAlign w:val="center"/>
                </w:tcPr>
                <w:p>
                  <w:pPr>
                    <w:pStyle w:val="63"/>
                    <w:rPr>
                      <w:rFonts w:hint="eastAsia" w:ascii="Times New Roman" w:hAnsi="Times New Roman"/>
                      <w:color w:val="auto"/>
                      <w:highlight w:val="none"/>
                    </w:rPr>
                  </w:pPr>
                </w:p>
              </w:tc>
              <w:tc>
                <w:tcPr>
                  <w:tcW w:w="2006" w:type="dxa"/>
                  <w:tcBorders>
                    <w:top w:val="single" w:color="000000" w:sz="6" w:space="0"/>
                    <w:left w:val="single" w:color="000000" w:sz="6" w:space="0"/>
                    <w:right w:val="single" w:color="000000" w:sz="6" w:space="0"/>
                  </w:tcBorders>
                  <w:vAlign w:val="center"/>
                </w:tcPr>
                <w:p>
                  <w:pPr>
                    <w:pStyle w:val="63"/>
                    <w:rPr>
                      <w:rFonts w:hint="eastAsia" w:ascii="Times New Roman" w:hAnsi="Times New Roman" w:eastAsia="宋体"/>
                      <w:color w:val="auto"/>
                      <w:highlight w:val="none"/>
                      <w:lang w:val="en-US" w:eastAsia="zh-CN"/>
                    </w:rPr>
                  </w:pPr>
                  <w:r>
                    <w:rPr>
                      <w:rFonts w:hint="eastAsia" w:ascii="Times New Roman" w:hAnsi="Times New Roman"/>
                      <w:color w:val="auto"/>
                      <w:highlight w:val="none"/>
                      <w:lang w:val="en-US" w:eastAsia="zh-CN"/>
                    </w:rPr>
                    <w:t>非甲烷总烃</w:t>
                  </w:r>
                </w:p>
              </w:tc>
              <w:tc>
                <w:tcPr>
                  <w:tcW w:w="1144" w:type="dxa"/>
                  <w:tcBorders>
                    <w:top w:val="single" w:color="000000" w:sz="6" w:space="0"/>
                    <w:left w:val="single" w:color="000000" w:sz="6" w:space="0"/>
                    <w:right w:val="single" w:color="000000" w:sz="6" w:space="0"/>
                  </w:tcBorders>
                  <w:vAlign w:val="center"/>
                </w:tcPr>
                <w:p>
                  <w:pPr>
                    <w:pStyle w:val="63"/>
                    <w:rPr>
                      <w:rFonts w:hint="default" w:ascii="Times New Roman" w:hAnsi="Times New Roman" w:eastAsia="宋体"/>
                      <w:color w:val="auto"/>
                      <w:highlight w:val="none"/>
                      <w:lang w:val="en-US" w:eastAsia="zh-CN"/>
                    </w:rPr>
                  </w:pPr>
                  <w:r>
                    <w:rPr>
                      <w:rFonts w:hint="eastAsia" w:ascii="Times New Roman" w:hAnsi="Times New Roman"/>
                      <w:color w:val="auto"/>
                      <w:highlight w:val="none"/>
                      <w:lang w:val="en-US" w:eastAsia="zh-CN"/>
                    </w:rPr>
                    <w:t>1.4</w:t>
                  </w:r>
                </w:p>
              </w:tc>
              <w:tc>
                <w:tcPr>
                  <w:tcW w:w="1950" w:type="dxa"/>
                  <w:tcBorders>
                    <w:top w:val="single" w:color="000000" w:sz="6" w:space="0"/>
                    <w:left w:val="single" w:color="000000" w:sz="6" w:space="0"/>
                    <w:right w:val="single" w:color="000000" w:sz="6" w:space="0"/>
                  </w:tcBorders>
                  <w:vAlign w:val="center"/>
                </w:tcPr>
                <w:p>
                  <w:pPr>
                    <w:pStyle w:val="63"/>
                    <w:rPr>
                      <w:rFonts w:hint="default" w:ascii="Times New Roman" w:hAnsi="Times New Roman" w:eastAsia="宋体"/>
                      <w:color w:val="auto"/>
                      <w:highlight w:val="none"/>
                      <w:lang w:val="en-US" w:eastAsia="zh-CN"/>
                    </w:rPr>
                  </w:pPr>
                  <w:r>
                    <w:rPr>
                      <w:rFonts w:hint="eastAsia" w:ascii="Times New Roman" w:hAnsi="Times New Roman"/>
                      <w:color w:val="auto"/>
                      <w:highlight w:val="none"/>
                      <w:lang w:val="en-US" w:eastAsia="zh-CN"/>
                    </w:rPr>
                    <w:t>0.0043</w:t>
                  </w:r>
                </w:p>
              </w:tc>
              <w:tc>
                <w:tcPr>
                  <w:tcW w:w="1032" w:type="dxa"/>
                  <w:vMerge w:val="continue"/>
                  <w:tcBorders>
                    <w:left w:val="single" w:color="000000" w:sz="6" w:space="0"/>
                  </w:tcBorders>
                  <w:vAlign w:val="center"/>
                </w:tcPr>
                <w:p>
                  <w:pPr>
                    <w:pStyle w:val="63"/>
                    <w:rPr>
                      <w:rFonts w:ascii="Times New Roman" w:hAnsi="Times New Roman"/>
                      <w:color w:val="auto"/>
                      <w:highlight w:val="none"/>
                    </w:rPr>
                  </w:pP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28" w:type="dxa"/>
                </w:tblCellMar>
              </w:tblPrEx>
              <w:trPr>
                <w:trHeight w:val="340" w:hRule="atLeast"/>
                <w:jc w:val="center"/>
              </w:trPr>
              <w:tc>
                <w:tcPr>
                  <w:tcW w:w="874" w:type="dxa"/>
                  <w:vMerge w:val="restart"/>
                  <w:tcBorders>
                    <w:right w:val="single" w:color="000000" w:sz="6" w:space="0"/>
                  </w:tcBorders>
                  <w:vAlign w:val="center"/>
                </w:tcPr>
                <w:p>
                  <w:pPr>
                    <w:pStyle w:val="63"/>
                    <w:rPr>
                      <w:rFonts w:hint="eastAsia" w:ascii="Times New Roman" w:hAnsi="Times New Roman"/>
                      <w:color w:val="auto"/>
                      <w:highlight w:val="none"/>
                    </w:rPr>
                  </w:pPr>
                  <w:r>
                    <w:rPr>
                      <w:rFonts w:hint="eastAsia" w:ascii="Times New Roman" w:hAnsi="Times New Roman"/>
                      <w:color w:val="auto"/>
                      <w:highlight w:val="none"/>
                    </w:rPr>
                    <w:t>固体废物</w:t>
                  </w:r>
                </w:p>
              </w:tc>
              <w:tc>
                <w:tcPr>
                  <w:tcW w:w="1214" w:type="dxa"/>
                  <w:tcBorders>
                    <w:left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打磨</w:t>
                  </w:r>
                </w:p>
              </w:tc>
              <w:tc>
                <w:tcPr>
                  <w:tcW w:w="2006" w:type="dxa"/>
                  <w:tcBorders>
                    <w:top w:val="single" w:color="000000" w:sz="6" w:space="0"/>
                    <w:left w:val="single" w:color="000000" w:sz="6" w:space="0"/>
                    <w:bottom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金属屑</w:t>
                  </w: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0.064t/a</w:t>
                  </w:r>
                </w:p>
              </w:tc>
              <w:tc>
                <w:tcPr>
                  <w:tcW w:w="1950" w:type="dxa"/>
                  <w:tcBorders>
                    <w:top w:val="single" w:color="000000" w:sz="6" w:space="0"/>
                    <w:left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统一收集、全部外售</w:t>
                  </w:r>
                </w:p>
              </w:tc>
              <w:tc>
                <w:tcPr>
                  <w:tcW w:w="1032" w:type="dxa"/>
                  <w:vMerge w:val="restart"/>
                  <w:tcBorders>
                    <w:left w:val="single" w:color="000000" w:sz="6" w:space="0"/>
                  </w:tcBorders>
                  <w:vAlign w:val="center"/>
                </w:tcPr>
                <w:p>
                  <w:pPr>
                    <w:pStyle w:val="63"/>
                    <w:rPr>
                      <w:rFonts w:ascii="Times New Roman" w:hAnsi="Times New Roman"/>
                      <w:color w:val="auto"/>
                      <w:highlight w:val="none"/>
                    </w:rPr>
                  </w:pPr>
                  <w:r>
                    <w:rPr>
                      <w:rFonts w:hint="eastAsia" w:ascii="Times New Roman" w:hAnsi="Times New Roman"/>
                      <w:color w:val="auto"/>
                      <w:highlight w:val="none"/>
                    </w:rPr>
                    <w:t>合理处置</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28" w:type="dxa"/>
                </w:tblCellMar>
              </w:tblPrEx>
              <w:trPr>
                <w:trHeight w:val="340" w:hRule="atLeast"/>
                <w:jc w:val="center"/>
              </w:trPr>
              <w:tc>
                <w:tcPr>
                  <w:tcW w:w="874" w:type="dxa"/>
                  <w:vMerge w:val="continue"/>
                  <w:tcBorders>
                    <w:right w:val="single" w:color="000000" w:sz="6" w:space="0"/>
                  </w:tcBorders>
                  <w:vAlign w:val="center"/>
                </w:tcPr>
                <w:p>
                  <w:pPr>
                    <w:pStyle w:val="63"/>
                    <w:rPr>
                      <w:rFonts w:hint="eastAsia" w:ascii="Times New Roman" w:hAnsi="Times New Roman"/>
                      <w:color w:val="auto"/>
                      <w:highlight w:val="none"/>
                    </w:rPr>
                  </w:pPr>
                </w:p>
              </w:tc>
              <w:tc>
                <w:tcPr>
                  <w:tcW w:w="1214" w:type="dxa"/>
                  <w:tcBorders>
                    <w:left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原料包装</w:t>
                  </w:r>
                </w:p>
              </w:tc>
              <w:tc>
                <w:tcPr>
                  <w:tcW w:w="2006" w:type="dxa"/>
                  <w:tcBorders>
                    <w:top w:val="single" w:color="000000" w:sz="6" w:space="0"/>
                    <w:left w:val="single" w:color="000000" w:sz="6" w:space="0"/>
                    <w:bottom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废包装袋、废植物油瓶</w:t>
                  </w: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0.2t/a</w:t>
                  </w:r>
                </w:p>
              </w:tc>
              <w:tc>
                <w:tcPr>
                  <w:tcW w:w="1950" w:type="dxa"/>
                  <w:tcBorders>
                    <w:top w:val="single" w:color="000000" w:sz="6" w:space="0"/>
                    <w:left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统一收集、全部外售</w:t>
                  </w:r>
                </w:p>
              </w:tc>
              <w:tc>
                <w:tcPr>
                  <w:tcW w:w="1032" w:type="dxa"/>
                  <w:vMerge w:val="continue"/>
                  <w:tcBorders>
                    <w:left w:val="single" w:color="000000" w:sz="6" w:space="0"/>
                  </w:tcBorders>
                  <w:vAlign w:val="center"/>
                </w:tcPr>
                <w:p>
                  <w:pPr>
                    <w:pStyle w:val="63"/>
                    <w:rPr>
                      <w:rFonts w:hint="eastAsia" w:ascii="Times New Roman" w:hAnsi="Times New Roman"/>
                      <w:color w:val="auto"/>
                      <w:highlight w:val="none"/>
                    </w:rPr>
                  </w:pP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28" w:type="dxa"/>
                </w:tblCellMar>
              </w:tblPrEx>
              <w:trPr>
                <w:trHeight w:val="340" w:hRule="atLeast"/>
                <w:jc w:val="center"/>
              </w:trPr>
              <w:tc>
                <w:tcPr>
                  <w:tcW w:w="874" w:type="dxa"/>
                  <w:vMerge w:val="continue"/>
                  <w:tcBorders>
                    <w:right w:val="single" w:color="000000" w:sz="6" w:space="0"/>
                  </w:tcBorders>
                  <w:vAlign w:val="center"/>
                </w:tcPr>
                <w:p>
                  <w:pPr>
                    <w:pStyle w:val="63"/>
                    <w:rPr>
                      <w:rFonts w:hint="eastAsia" w:ascii="Times New Roman" w:hAnsi="Times New Roman"/>
                      <w:color w:val="auto"/>
                      <w:highlight w:val="none"/>
                    </w:rPr>
                  </w:pPr>
                </w:p>
              </w:tc>
              <w:tc>
                <w:tcPr>
                  <w:tcW w:w="1214" w:type="dxa"/>
                  <w:tcBorders>
                    <w:left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办公生活</w:t>
                  </w:r>
                </w:p>
              </w:tc>
              <w:tc>
                <w:tcPr>
                  <w:tcW w:w="2006" w:type="dxa"/>
                  <w:tcBorders>
                    <w:top w:val="single" w:color="000000" w:sz="6" w:space="0"/>
                    <w:left w:val="single" w:color="000000" w:sz="6" w:space="0"/>
                    <w:bottom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生活垃圾</w:t>
                  </w: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1.25t/a</w:t>
                  </w:r>
                </w:p>
              </w:tc>
              <w:tc>
                <w:tcPr>
                  <w:tcW w:w="1950" w:type="dxa"/>
                  <w:tcBorders>
                    <w:top w:val="single" w:color="000000" w:sz="6" w:space="0"/>
                    <w:left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统一收集后交由环卫部门统一处理</w:t>
                  </w:r>
                </w:p>
              </w:tc>
              <w:tc>
                <w:tcPr>
                  <w:tcW w:w="1032" w:type="dxa"/>
                  <w:vMerge w:val="continue"/>
                  <w:tcBorders>
                    <w:left w:val="single" w:color="000000" w:sz="6" w:space="0"/>
                  </w:tcBorders>
                  <w:vAlign w:val="center"/>
                </w:tcPr>
                <w:p>
                  <w:pPr>
                    <w:pStyle w:val="63"/>
                    <w:rPr>
                      <w:rFonts w:hint="eastAsia" w:ascii="Times New Roman" w:hAnsi="Times New Roman"/>
                      <w:color w:val="auto"/>
                      <w:highlight w:val="none"/>
                    </w:rPr>
                  </w:pP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28" w:type="dxa"/>
                </w:tblCellMar>
              </w:tblPrEx>
              <w:trPr>
                <w:trHeight w:val="340" w:hRule="atLeast"/>
                <w:jc w:val="center"/>
              </w:trPr>
              <w:tc>
                <w:tcPr>
                  <w:tcW w:w="874" w:type="dxa"/>
                  <w:vMerge w:val="continue"/>
                  <w:tcBorders>
                    <w:right w:val="single" w:color="000000" w:sz="6" w:space="0"/>
                  </w:tcBorders>
                  <w:vAlign w:val="center"/>
                </w:tcPr>
                <w:p>
                  <w:pPr>
                    <w:pStyle w:val="63"/>
                    <w:rPr>
                      <w:rFonts w:ascii="Times New Roman" w:hAnsi="Times New Roman"/>
                      <w:color w:val="auto"/>
                      <w:highlight w:val="none"/>
                    </w:rPr>
                  </w:pPr>
                </w:p>
              </w:tc>
              <w:tc>
                <w:tcPr>
                  <w:tcW w:w="1214" w:type="dxa"/>
                  <w:tcBorders>
                    <w:left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涂料涂装</w:t>
                  </w:r>
                </w:p>
              </w:tc>
              <w:tc>
                <w:tcPr>
                  <w:tcW w:w="2006" w:type="dxa"/>
                  <w:tcBorders>
                    <w:top w:val="single" w:color="000000" w:sz="6" w:space="0"/>
                    <w:left w:val="single" w:color="000000" w:sz="6" w:space="0"/>
                    <w:bottom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废涂料桶</w:t>
                  </w: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0.2t/a</w:t>
                  </w:r>
                </w:p>
              </w:tc>
              <w:tc>
                <w:tcPr>
                  <w:tcW w:w="1950" w:type="dxa"/>
                  <w:vMerge w:val="restart"/>
                  <w:tcBorders>
                    <w:top w:val="single" w:color="000000" w:sz="6" w:space="0"/>
                    <w:left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highlight w:val="none"/>
                      <w:lang w:val="en-US" w:eastAsia="zh-CN"/>
                    </w:rPr>
                    <w:t>存于危废间内，</w:t>
                  </w:r>
                  <w:r>
                    <w:rPr>
                      <w:rFonts w:hint="eastAsia" w:ascii="Times New Roman" w:hAnsi="Times New Roman" w:eastAsia="宋体" w:cs="Times New Roman"/>
                      <w:color w:val="auto"/>
                      <w:highlight w:val="none"/>
                      <w:lang w:val="en-US" w:eastAsia="zh-CN"/>
                    </w:rPr>
                    <w:t>交由有资质单位处理</w:t>
                  </w:r>
                </w:p>
              </w:tc>
              <w:tc>
                <w:tcPr>
                  <w:tcW w:w="1032" w:type="dxa"/>
                  <w:vMerge w:val="continue"/>
                  <w:tcBorders>
                    <w:left w:val="single" w:color="000000" w:sz="6" w:space="0"/>
                  </w:tcBorders>
                  <w:vAlign w:val="center"/>
                </w:tcPr>
                <w:p>
                  <w:pPr>
                    <w:pStyle w:val="63"/>
                    <w:rPr>
                      <w:rFonts w:ascii="Times New Roman" w:hAnsi="Times New Roman"/>
                      <w:color w:val="auto"/>
                      <w:highlight w:val="none"/>
                    </w:rPr>
                  </w:pP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28" w:type="dxa"/>
                </w:tblCellMar>
              </w:tblPrEx>
              <w:trPr>
                <w:trHeight w:val="340" w:hRule="atLeast"/>
                <w:jc w:val="center"/>
              </w:trPr>
              <w:tc>
                <w:tcPr>
                  <w:tcW w:w="874" w:type="dxa"/>
                  <w:vMerge w:val="continue"/>
                  <w:tcBorders>
                    <w:right w:val="single" w:color="000000" w:sz="6" w:space="0"/>
                  </w:tcBorders>
                  <w:vAlign w:val="center"/>
                </w:tcPr>
                <w:p>
                  <w:pPr>
                    <w:pStyle w:val="63"/>
                    <w:rPr>
                      <w:rFonts w:ascii="Times New Roman" w:hAnsi="Times New Roman"/>
                      <w:color w:val="auto"/>
                      <w:highlight w:val="none"/>
                    </w:rPr>
                  </w:pPr>
                </w:p>
              </w:tc>
              <w:tc>
                <w:tcPr>
                  <w:tcW w:w="1214" w:type="dxa"/>
                  <w:tcBorders>
                    <w:left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废气治理</w:t>
                  </w:r>
                </w:p>
              </w:tc>
              <w:tc>
                <w:tcPr>
                  <w:tcW w:w="2006" w:type="dxa"/>
                  <w:tcBorders>
                    <w:top w:val="single" w:color="000000" w:sz="6" w:space="0"/>
                    <w:left w:val="single" w:color="000000" w:sz="6" w:space="0"/>
                    <w:bottom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废活性炭</w:t>
                  </w: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0.05t/a</w:t>
                  </w:r>
                </w:p>
              </w:tc>
              <w:tc>
                <w:tcPr>
                  <w:tcW w:w="1950" w:type="dxa"/>
                  <w:vMerge w:val="continue"/>
                  <w:tcBorders>
                    <w:left w:val="single" w:color="000000" w:sz="6" w:space="0"/>
                    <w:right w:val="single" w:color="000000" w:sz="6" w:space="0"/>
                  </w:tcBorders>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cs="Times New Roman"/>
                      <w:color w:val="auto"/>
                      <w:highlight w:val="none"/>
                      <w:lang w:val="en-US" w:eastAsia="zh-CN"/>
                    </w:rPr>
                  </w:pPr>
                </w:p>
              </w:tc>
              <w:tc>
                <w:tcPr>
                  <w:tcW w:w="1032" w:type="dxa"/>
                  <w:vMerge w:val="continue"/>
                  <w:tcBorders>
                    <w:left w:val="single" w:color="000000" w:sz="6" w:space="0"/>
                  </w:tcBorders>
                  <w:vAlign w:val="center"/>
                </w:tcPr>
                <w:p>
                  <w:pPr>
                    <w:pStyle w:val="63"/>
                    <w:rPr>
                      <w:rFonts w:ascii="Times New Roman" w:hAnsi="Times New Roman"/>
                      <w:color w:val="auto"/>
                      <w:highlight w:val="none"/>
                    </w:rPr>
                  </w:pP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28" w:type="dxa"/>
                </w:tblCellMar>
              </w:tblPrEx>
              <w:trPr>
                <w:trHeight w:val="340" w:hRule="atLeast"/>
                <w:jc w:val="center"/>
              </w:trPr>
              <w:tc>
                <w:tcPr>
                  <w:tcW w:w="874" w:type="dxa"/>
                  <w:tcBorders>
                    <w:top w:val="single" w:color="000000" w:sz="6" w:space="0"/>
                    <w:right w:val="single" w:color="000000" w:sz="6" w:space="0"/>
                  </w:tcBorders>
                  <w:vAlign w:val="center"/>
                </w:tcPr>
                <w:p>
                  <w:pPr>
                    <w:pStyle w:val="63"/>
                    <w:rPr>
                      <w:rFonts w:ascii="Times New Roman" w:hAnsi="Times New Roman"/>
                      <w:color w:val="auto"/>
                      <w:highlight w:val="none"/>
                    </w:rPr>
                  </w:pPr>
                  <w:r>
                    <w:rPr>
                      <w:rFonts w:hint="eastAsia" w:ascii="Times New Roman" w:hAnsi="Times New Roman"/>
                      <w:color w:val="auto"/>
                      <w:highlight w:val="none"/>
                    </w:rPr>
                    <w:t>噪声</w:t>
                  </w:r>
                </w:p>
              </w:tc>
              <w:tc>
                <w:tcPr>
                  <w:tcW w:w="7346" w:type="dxa"/>
                  <w:gridSpan w:val="5"/>
                  <w:tcBorders>
                    <w:top w:val="single" w:color="000000" w:sz="6" w:space="0"/>
                    <w:left w:val="single" w:color="000000" w:sz="6" w:space="0"/>
                  </w:tcBorders>
                  <w:vAlign w:val="center"/>
                </w:tcPr>
                <w:p>
                  <w:pPr>
                    <w:pStyle w:val="63"/>
                    <w:rPr>
                      <w:rFonts w:ascii="Times New Roman" w:hAnsi="Times New Roman"/>
                      <w:color w:val="auto"/>
                      <w:highlight w:val="none"/>
                    </w:rPr>
                  </w:pPr>
                  <w:r>
                    <w:rPr>
                      <w:rFonts w:hint="eastAsia" w:ascii="Times New Roman" w:hAnsi="Times New Roman"/>
                      <w:color w:val="auto"/>
                      <w:highlight w:val="none"/>
                    </w:rPr>
                    <w:t>项目噪声源为各生产设备运行时产生的噪声，厂界昼间噪声值符合《工业企业厂界环境噪声排放标准》（GB12348-2008）表1中</w:t>
                  </w:r>
                  <w:r>
                    <w:rPr>
                      <w:rFonts w:hint="eastAsia" w:ascii="Times New Roman" w:hAnsi="Times New Roman"/>
                      <w:color w:val="auto"/>
                      <w:highlight w:val="none"/>
                      <w:lang w:val="en-US" w:eastAsia="zh-CN"/>
                    </w:rPr>
                    <w:t>2</w:t>
                  </w:r>
                  <w:r>
                    <w:rPr>
                      <w:rFonts w:hint="eastAsia" w:ascii="Times New Roman" w:hAnsi="Times New Roman"/>
                      <w:color w:val="auto"/>
                      <w:highlight w:val="none"/>
                    </w:rPr>
                    <w:t>类标准。</w:t>
                  </w:r>
                </w:p>
              </w:tc>
            </w:tr>
          </w:tbl>
          <w:p>
            <w:pPr>
              <w:pStyle w:val="7"/>
              <w:outlineLvl w:val="2"/>
              <w:rPr>
                <w:color w:val="auto"/>
                <w:highlight w:val="none"/>
              </w:rPr>
            </w:pPr>
            <w:r>
              <w:rPr>
                <w:color w:val="auto"/>
                <w:highlight w:val="none"/>
              </w:rPr>
              <w:t>3 工程存在的问题</w:t>
            </w:r>
          </w:p>
          <w:p>
            <w:pPr>
              <w:pStyle w:val="30"/>
              <w:keepNext w:val="0"/>
              <w:keepLines w:val="0"/>
              <w:pageBreakBefore w:val="0"/>
              <w:widowControl w:val="0"/>
              <w:numPr>
                <w:ilvl w:val="0"/>
                <w:numId w:val="0"/>
              </w:numPr>
              <w:kinsoku/>
              <w:wordWrap/>
              <w:overflowPunct/>
              <w:topLinePunct w:val="0"/>
              <w:autoSpaceDE/>
              <w:autoSpaceDN/>
              <w:bidi w:val="0"/>
              <w:adjustRightInd/>
              <w:snapToGrid/>
              <w:spacing w:after="0"/>
              <w:ind w:leftChars="0" w:firstLine="480" w:firstLineChars="200"/>
              <w:textAlignment w:val="auto"/>
              <w:rPr>
                <w:rFonts w:hint="default" w:ascii="Times New Roman" w:hAnsi="Times New Roman" w:cs="Times New Roman"/>
                <w:color w:val="auto"/>
                <w:highlight w:val="none"/>
                <w:lang w:val="en-US"/>
              </w:rPr>
            </w:pPr>
            <w:r>
              <w:rPr>
                <w:rFonts w:hint="eastAsia" w:cs="Times New Roman"/>
                <w:color w:val="auto"/>
                <w:kern w:val="2"/>
                <w:sz w:val="24"/>
                <w:szCs w:val="24"/>
                <w:highlight w:val="none"/>
                <w:lang w:val="en-US" w:eastAsia="zh-CN" w:bidi="ar-SA"/>
              </w:rPr>
              <w:t>经现场踏查企业存在的现有问题为：</w:t>
            </w:r>
            <w:r>
              <w:rPr>
                <w:rFonts w:hint="eastAsia" w:ascii="Times New Roman" w:hAnsi="Times New Roman" w:eastAsia="宋体" w:cs="Times New Roman"/>
                <w:color w:val="auto"/>
                <w:kern w:val="2"/>
                <w:sz w:val="24"/>
                <w:szCs w:val="24"/>
                <w:highlight w:val="none"/>
                <w:lang w:val="en-US" w:eastAsia="zh-CN" w:bidi="ar-SA"/>
              </w:rPr>
              <w:t>企业已进行定期年度</w:t>
            </w:r>
            <w:r>
              <w:rPr>
                <w:rFonts w:hint="eastAsia" w:cs="Times New Roman"/>
                <w:color w:val="auto"/>
                <w:kern w:val="2"/>
                <w:sz w:val="24"/>
                <w:szCs w:val="24"/>
                <w:highlight w:val="none"/>
                <w:lang w:val="en-US" w:eastAsia="zh-CN" w:bidi="ar-SA"/>
              </w:rPr>
              <w:t>监测，但年度监测未监测恶臭</w:t>
            </w:r>
            <w:r>
              <w:rPr>
                <w:rFonts w:hint="eastAsia" w:ascii="Times New Roman" w:hAnsi="Times New Roman" w:eastAsia="宋体" w:cs="Times New Roman"/>
                <w:color w:val="auto"/>
                <w:kern w:val="2"/>
                <w:sz w:val="24"/>
                <w:szCs w:val="24"/>
                <w:highlight w:val="none"/>
                <w:lang w:val="en-US" w:eastAsia="zh-CN" w:bidi="ar-SA"/>
              </w:rPr>
              <w:t>。</w:t>
            </w:r>
            <w:r>
              <w:rPr>
                <w:rFonts w:hint="eastAsia" w:cs="Times New Roman"/>
                <w:color w:val="auto"/>
                <w:kern w:val="2"/>
                <w:sz w:val="24"/>
                <w:szCs w:val="24"/>
                <w:highlight w:val="none"/>
                <w:lang w:val="en-US" w:eastAsia="zh-CN" w:bidi="ar-SA"/>
              </w:rPr>
              <w:t>整改措施为：企业在本次监测中尽快补充恶臭的因子</w:t>
            </w:r>
            <w:r>
              <w:rPr>
                <w:rFonts w:hint="eastAsia" w:ascii="Times New Roman" w:hAnsi="Times New Roman" w:eastAsia="宋体" w:cs="Times New Roman"/>
                <w:color w:val="auto"/>
                <w:kern w:val="2"/>
                <w:sz w:val="24"/>
                <w:szCs w:val="24"/>
                <w:highlight w:val="none"/>
                <w:lang w:val="en-US" w:eastAsia="zh-CN" w:bidi="ar-SA"/>
              </w:rPr>
              <w:t>。</w:t>
            </w:r>
          </w:p>
        </w:tc>
      </w:tr>
    </w:tbl>
    <w:p>
      <w:pPr>
        <w:pStyle w:val="6"/>
        <w:rPr>
          <w:rFonts w:hint="default" w:ascii="Times New Roman" w:hAnsi="Times New Roman" w:cs="Times New Roman"/>
          <w:color w:val="auto"/>
          <w:highlight w:val="none"/>
        </w:rPr>
        <w:sectPr>
          <w:pgSz w:w="11906" w:h="16838"/>
          <w:pgMar w:top="1701" w:right="1531" w:bottom="1701" w:left="1531" w:header="851" w:footer="851" w:gutter="0"/>
          <w:cols w:space="720" w:num="1"/>
          <w:docGrid w:linePitch="312" w:charSpace="0"/>
        </w:sectPr>
      </w:pPr>
    </w:p>
    <w:p>
      <w:pPr>
        <w:pStyle w:val="5"/>
        <w:rPr>
          <w:rFonts w:hint="default" w:ascii="Times New Roman" w:hAnsi="Times New Roman" w:cs="Times New Roman"/>
          <w:color w:val="auto"/>
          <w:highlight w:val="none"/>
        </w:rPr>
      </w:pPr>
      <w:r>
        <w:rPr>
          <w:rFonts w:hint="default" w:ascii="Times New Roman" w:hAnsi="Times New Roman" w:cs="Times New Roman"/>
          <w:color w:val="auto"/>
          <w:highlight w:val="none"/>
        </w:rPr>
        <w:t>三、区域环境质量现状、环境保护目标及评价标准</w:t>
      </w:r>
    </w:p>
    <w:tbl>
      <w:tblPr>
        <w:tblStyle w:val="31"/>
        <w:tblW w:w="907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517"/>
        <w:gridCol w:w="855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497" w:hRule="atLeast"/>
          <w:jc w:val="center"/>
        </w:trPr>
        <w:tc>
          <w:tcPr>
            <w:tcW w:w="517" w:type="dxa"/>
            <w:vAlign w:val="center"/>
          </w:tcPr>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区域</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环境</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质量</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现状</w:t>
            </w: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jc w:val="both"/>
              <w:rPr>
                <w:rFonts w:hint="default" w:ascii="Times New Roman" w:hAnsi="Times New Roman" w:cs="Times New Roman"/>
                <w:color w:val="auto"/>
                <w:highlight w:val="none"/>
              </w:rPr>
            </w:pPr>
          </w:p>
        </w:tc>
        <w:tc>
          <w:tcPr>
            <w:tcW w:w="8554" w:type="dxa"/>
            <w:vAlign w:val="center"/>
          </w:tcPr>
          <w:p>
            <w:pPr>
              <w:pStyle w:val="7"/>
              <w:rPr>
                <w:rFonts w:hint="default" w:ascii="Times New Roman" w:hAnsi="Times New Roman" w:cs="Times New Roman"/>
                <w:color w:val="auto"/>
                <w:highlight w:val="none"/>
              </w:rPr>
            </w:pPr>
            <w:r>
              <w:rPr>
                <w:rFonts w:hint="default" w:ascii="Times New Roman" w:hAnsi="Times New Roman" w:cs="Times New Roman"/>
                <w:color w:val="auto"/>
                <w:highlight w:val="none"/>
              </w:rPr>
              <w:t>1 环境空气质量现状</w:t>
            </w:r>
          </w:p>
          <w:p>
            <w:pPr>
              <w:pStyle w:val="74"/>
              <w:spacing w:line="360" w:lineRule="auto"/>
              <w:ind w:firstLine="480"/>
              <w:rPr>
                <w:rFonts w:hint="eastAsia" w:ascii="Times New Roman" w:hAnsi="Times New Roman" w:eastAsia="宋体" w:cs="Times New Roman"/>
                <w:b w:val="0"/>
                <w:color w:val="auto"/>
                <w:kern w:val="2"/>
                <w:sz w:val="24"/>
                <w:szCs w:val="24"/>
                <w:highlight w:val="none"/>
                <w:lang w:val="en-US" w:eastAsia="zh-CN" w:bidi="ar-SA"/>
              </w:rPr>
            </w:pPr>
            <w:r>
              <w:rPr>
                <w:rFonts w:hint="eastAsia" w:ascii="Times New Roman" w:hAnsi="Times New Roman" w:eastAsia="宋体" w:cs="Times New Roman"/>
                <w:b w:val="0"/>
                <w:color w:val="auto"/>
                <w:kern w:val="2"/>
                <w:sz w:val="24"/>
                <w:szCs w:val="24"/>
                <w:highlight w:val="none"/>
                <w:lang w:val="en-US" w:eastAsia="zh-CN" w:bidi="ar-SA"/>
              </w:rPr>
              <w:t>区域环境空气质量现状达标性分析</w:t>
            </w:r>
          </w:p>
          <w:p>
            <w:pPr>
              <w:ind w:firstLine="480" w:firstLineChars="200"/>
              <w:rPr>
                <w:rFonts w:hint="default" w:ascii="Times New Roman" w:hAnsi="Times New Roman" w:cs="Times New Roman"/>
                <w:color w:val="auto"/>
                <w:highlight w:val="none"/>
              </w:rPr>
            </w:pPr>
            <w:r>
              <w:rPr>
                <w:rFonts w:hint="default" w:ascii="Times New Roman" w:hAnsi="Times New Roman" w:eastAsia="宋体" w:cs="Times New Roman"/>
                <w:b w:val="0"/>
                <w:color w:val="auto"/>
                <w:kern w:val="2"/>
                <w:sz w:val="24"/>
                <w:szCs w:val="24"/>
                <w:highlight w:val="none"/>
                <w:lang w:val="en-US" w:eastAsia="zh-CN" w:bidi="ar-SA"/>
              </w:rPr>
              <w:t>根据</w:t>
            </w:r>
            <w:r>
              <w:rPr>
                <w:rFonts w:hint="eastAsia" w:ascii="Times New Roman" w:hAnsi="Times New Roman" w:eastAsia="宋体" w:cs="Times New Roman"/>
                <w:b w:val="0"/>
                <w:color w:val="auto"/>
                <w:kern w:val="2"/>
                <w:sz w:val="24"/>
                <w:szCs w:val="24"/>
                <w:highlight w:val="none"/>
                <w:lang w:val="en-US" w:eastAsia="zh-CN" w:bidi="ar-SA"/>
              </w:rPr>
              <w:t>《秦皇岛市大气污染防治工作领导小组办公室</w:t>
            </w:r>
            <w:r>
              <w:rPr>
                <w:rFonts w:hint="default" w:ascii="Times New Roman" w:hAnsi="Times New Roman" w:eastAsia="宋体" w:cs="Times New Roman"/>
                <w:b w:val="0"/>
                <w:color w:val="auto"/>
                <w:kern w:val="2"/>
                <w:sz w:val="24"/>
                <w:szCs w:val="24"/>
                <w:highlight w:val="none"/>
                <w:lang w:val="en-US" w:eastAsia="zh-CN" w:bidi="ar-SA"/>
              </w:rPr>
              <w:t>关于 2022年12月份环境空气质量情况的通报</w:t>
            </w:r>
            <w:r>
              <w:rPr>
                <w:rFonts w:hint="eastAsia" w:ascii="Times New Roman" w:hAnsi="Times New Roman" w:eastAsia="宋体" w:cs="Times New Roman"/>
                <w:b w:val="0"/>
                <w:color w:val="auto"/>
                <w:kern w:val="2"/>
                <w:sz w:val="24"/>
                <w:szCs w:val="24"/>
                <w:highlight w:val="none"/>
                <w:lang w:val="en-US" w:eastAsia="zh-CN" w:bidi="ar-SA"/>
              </w:rPr>
              <w:t>》（秦气防领办〔</w:t>
            </w:r>
            <w:r>
              <w:rPr>
                <w:rFonts w:hint="eastAsia" w:cs="Times New Roman"/>
                <w:color w:val="auto"/>
                <w:highlight w:val="none"/>
                <w:lang w:eastAsia="zh-CN"/>
              </w:rPr>
              <w:t>202</w:t>
            </w:r>
            <w:r>
              <w:rPr>
                <w:rFonts w:hint="eastAsia" w:cs="Times New Roman"/>
                <w:color w:val="auto"/>
                <w:highlight w:val="none"/>
                <w:lang w:val="en-US" w:eastAsia="zh-CN"/>
              </w:rPr>
              <w:t>3</w:t>
            </w:r>
            <w:r>
              <w:rPr>
                <w:rFonts w:hint="eastAsia" w:cs="Times New Roman"/>
                <w:color w:val="auto"/>
                <w:highlight w:val="none"/>
                <w:lang w:eastAsia="zh-CN"/>
              </w:rPr>
              <w:t>〕</w:t>
            </w:r>
            <w:r>
              <w:rPr>
                <w:rFonts w:hint="eastAsia" w:cs="Times New Roman"/>
                <w:color w:val="auto"/>
                <w:highlight w:val="none"/>
                <w:lang w:val="en-US" w:eastAsia="zh-CN"/>
              </w:rPr>
              <w:t>4</w:t>
            </w:r>
            <w:r>
              <w:rPr>
                <w:rFonts w:hint="eastAsia" w:cs="Times New Roman"/>
                <w:color w:val="auto"/>
                <w:highlight w:val="none"/>
                <w:lang w:eastAsia="zh-CN"/>
              </w:rPr>
              <w:t>号）</w:t>
            </w:r>
            <w:r>
              <w:rPr>
                <w:rFonts w:hint="eastAsia" w:cs="Times New Roman"/>
                <w:b w:val="0"/>
                <w:bCs/>
                <w:color w:val="auto"/>
                <w:kern w:val="2"/>
                <w:sz w:val="24"/>
                <w:szCs w:val="21"/>
                <w:highlight w:val="none"/>
                <w:lang w:val="en-US" w:eastAsia="zh-CN" w:bidi="ar-SA"/>
              </w:rPr>
              <w:t>中</w:t>
            </w:r>
            <w:r>
              <w:rPr>
                <w:rFonts w:hint="default" w:ascii="Times New Roman" w:hAnsi="Times New Roman" w:eastAsia="宋体" w:cs="Times New Roman"/>
                <w:b w:val="0"/>
                <w:bCs/>
                <w:color w:val="auto"/>
                <w:kern w:val="2"/>
                <w:sz w:val="24"/>
                <w:szCs w:val="21"/>
                <w:highlight w:val="none"/>
                <w:lang w:val="en-US" w:eastAsia="zh-CN" w:bidi="ar-SA"/>
              </w:rPr>
              <w:t>202</w:t>
            </w:r>
            <w:r>
              <w:rPr>
                <w:rFonts w:hint="eastAsia" w:cs="Times New Roman"/>
                <w:b w:val="0"/>
                <w:bCs/>
                <w:color w:val="auto"/>
                <w:kern w:val="2"/>
                <w:sz w:val="24"/>
                <w:szCs w:val="21"/>
                <w:highlight w:val="none"/>
                <w:lang w:val="en-US" w:eastAsia="zh-CN" w:bidi="ar-SA"/>
              </w:rPr>
              <w:t>2</w:t>
            </w:r>
            <w:r>
              <w:rPr>
                <w:rFonts w:hint="default" w:ascii="Times New Roman" w:hAnsi="Times New Roman" w:eastAsia="宋体" w:cs="Times New Roman"/>
                <w:b w:val="0"/>
                <w:bCs/>
                <w:color w:val="auto"/>
                <w:kern w:val="2"/>
                <w:sz w:val="24"/>
                <w:szCs w:val="21"/>
                <w:highlight w:val="none"/>
                <w:lang w:val="en-US" w:eastAsia="zh-CN" w:bidi="ar-SA"/>
              </w:rPr>
              <w:t>年1-12月份环境空气质量通报，秦皇岛市</w:t>
            </w:r>
            <w:r>
              <w:rPr>
                <w:rFonts w:hint="eastAsia" w:cs="Times New Roman"/>
                <w:b w:val="0"/>
                <w:bCs/>
                <w:color w:val="auto"/>
                <w:kern w:val="2"/>
                <w:sz w:val="24"/>
                <w:szCs w:val="21"/>
                <w:highlight w:val="none"/>
                <w:lang w:val="en-US" w:eastAsia="zh-CN" w:bidi="ar-SA"/>
              </w:rPr>
              <w:t>经济技术开发区</w:t>
            </w:r>
            <w:r>
              <w:rPr>
                <w:rFonts w:hint="default" w:ascii="Times New Roman" w:hAnsi="Times New Roman" w:eastAsia="宋体" w:cs="Times New Roman"/>
                <w:b w:val="0"/>
                <w:bCs/>
                <w:color w:val="auto"/>
                <w:kern w:val="2"/>
                <w:sz w:val="24"/>
                <w:szCs w:val="21"/>
                <w:highlight w:val="none"/>
                <w:lang w:val="en-US" w:eastAsia="zh-CN" w:bidi="ar-SA"/>
              </w:rPr>
              <w:t>环境空气质量情况见下表。</w:t>
            </w:r>
          </w:p>
          <w:p>
            <w:pPr>
              <w:pStyle w:val="45"/>
              <w:rPr>
                <w:rFonts w:hint="default" w:ascii="Times New Roman" w:hAnsi="Times New Roman" w:cs="Times New Roman"/>
                <w:color w:val="auto"/>
                <w:highlight w:val="none"/>
              </w:rPr>
            </w:pPr>
            <w:r>
              <w:rPr>
                <w:rFonts w:hint="default" w:ascii="Times New Roman" w:hAnsi="Times New Roman" w:cs="Times New Roman"/>
                <w:color w:val="auto"/>
                <w:highlight w:val="none"/>
              </w:rPr>
              <w:t>表</w:t>
            </w:r>
            <w:r>
              <w:rPr>
                <w:rFonts w:hint="eastAsia" w:cs="Times New Roman"/>
                <w:color w:val="auto"/>
                <w:highlight w:val="none"/>
                <w:lang w:val="en-US" w:eastAsia="zh-CN"/>
              </w:rPr>
              <w:t xml:space="preserve">3-1 </w:t>
            </w:r>
            <w:r>
              <w:rPr>
                <w:rFonts w:hint="default" w:ascii="Times New Roman" w:hAnsi="Times New Roman" w:cs="Times New Roman"/>
                <w:color w:val="auto"/>
                <w:highlight w:val="none"/>
              </w:rPr>
              <w:t>秦皇岛经济技术开发区空气质量现状评价表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09"/>
              <w:gridCol w:w="2087"/>
              <w:gridCol w:w="1539"/>
              <w:gridCol w:w="1393"/>
              <w:gridCol w:w="1118"/>
              <w:gridCol w:w="11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00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污染物</w:t>
                  </w:r>
                </w:p>
              </w:tc>
              <w:tc>
                <w:tcPr>
                  <w:tcW w:w="2087"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年</w:t>
                  </w:r>
                  <w:r>
                    <w:rPr>
                      <w:rFonts w:hint="eastAsia" w:cs="Times New Roman"/>
                      <w:color w:val="auto"/>
                      <w:kern w:val="2"/>
                      <w:sz w:val="21"/>
                      <w:szCs w:val="21"/>
                      <w:highlight w:val="none"/>
                      <w:vertAlign w:val="baseline"/>
                      <w:lang w:val="en-US" w:eastAsia="zh-CN" w:bidi="ar-SA"/>
                    </w:rPr>
                    <w:t>度</w:t>
                  </w:r>
                  <w:r>
                    <w:rPr>
                      <w:rFonts w:hint="default" w:ascii="Times New Roman" w:hAnsi="Times New Roman" w:eastAsia="宋体" w:cs="Times New Roman"/>
                      <w:color w:val="auto"/>
                      <w:kern w:val="2"/>
                      <w:sz w:val="21"/>
                      <w:szCs w:val="21"/>
                      <w:highlight w:val="none"/>
                      <w:vertAlign w:val="baseline"/>
                      <w:lang w:val="en-US" w:eastAsia="zh-CN" w:bidi="ar-SA"/>
                    </w:rPr>
                    <w:t>评价指标</w:t>
                  </w:r>
                </w:p>
              </w:tc>
              <w:tc>
                <w:tcPr>
                  <w:tcW w:w="153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现状浓度</w:t>
                  </w:r>
                </w:p>
              </w:tc>
              <w:tc>
                <w:tcPr>
                  <w:tcW w:w="1393"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标准值</w:t>
                  </w:r>
                </w:p>
              </w:tc>
              <w:tc>
                <w:tcPr>
                  <w:tcW w:w="1118"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占标率/％</w:t>
                  </w:r>
                </w:p>
              </w:tc>
              <w:tc>
                <w:tcPr>
                  <w:tcW w:w="1182"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00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SO</w:t>
                  </w:r>
                  <w:r>
                    <w:rPr>
                      <w:rFonts w:hint="default" w:ascii="Times New Roman" w:hAnsi="Times New Roman" w:eastAsia="宋体" w:cs="Times New Roman"/>
                      <w:color w:val="auto"/>
                      <w:kern w:val="2"/>
                      <w:sz w:val="21"/>
                      <w:szCs w:val="21"/>
                      <w:highlight w:val="none"/>
                      <w:vertAlign w:val="subscript"/>
                      <w:lang w:val="en-US" w:eastAsia="zh-CN" w:bidi="ar-SA"/>
                    </w:rPr>
                    <w:t>2</w:t>
                  </w:r>
                </w:p>
              </w:tc>
              <w:tc>
                <w:tcPr>
                  <w:tcW w:w="2087"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年平均</w:t>
                  </w:r>
                  <w:r>
                    <w:rPr>
                      <w:rFonts w:hint="eastAsia" w:ascii="Times New Roman" w:hAnsi="Times New Roman" w:eastAsia="宋体" w:cs="Times New Roman"/>
                      <w:color w:val="auto"/>
                      <w:kern w:val="2"/>
                      <w:sz w:val="21"/>
                      <w:szCs w:val="21"/>
                      <w:highlight w:val="none"/>
                      <w:vertAlign w:val="baseline"/>
                      <w:lang w:val="en-US" w:eastAsia="zh-CN" w:bidi="ar-SA"/>
                    </w:rPr>
                    <w:t>-98per</w:t>
                  </w:r>
                </w:p>
              </w:tc>
              <w:tc>
                <w:tcPr>
                  <w:tcW w:w="153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kern w:val="2"/>
                      <w:sz w:val="21"/>
                      <w:szCs w:val="21"/>
                      <w:highlight w:val="none"/>
                      <w:vertAlign w:val="baseline"/>
                      <w:lang w:val="en-US" w:eastAsia="zh-CN" w:bidi="ar-SA"/>
                    </w:rPr>
                    <w:t>8</w:t>
                  </w:r>
                  <w:r>
                    <w:rPr>
                      <w:rFonts w:hint="default" w:ascii="Times New Roman" w:hAnsi="Times New Roman" w:eastAsia="宋体" w:cs="Times New Roman"/>
                      <w:color w:val="auto"/>
                      <w:kern w:val="2"/>
                      <w:sz w:val="21"/>
                      <w:szCs w:val="21"/>
                      <w:highlight w:val="none"/>
                      <w:vertAlign w:val="baseline"/>
                      <w:lang w:val="en-US" w:eastAsia="zh-CN" w:bidi="ar-SA"/>
                    </w:rPr>
                    <w:t>μg/m³</w:t>
                  </w:r>
                </w:p>
              </w:tc>
              <w:tc>
                <w:tcPr>
                  <w:tcW w:w="1393"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60μg/</w:t>
                  </w:r>
                  <w:r>
                    <w:rPr>
                      <w:rFonts w:hint="eastAsia" w:ascii="Times New Roman" w:hAnsi="Times New Roman" w:eastAsia="宋体" w:cs="Times New Roman"/>
                      <w:color w:val="auto"/>
                      <w:kern w:val="2"/>
                      <w:sz w:val="21"/>
                      <w:szCs w:val="21"/>
                      <w:highlight w:val="none"/>
                      <w:vertAlign w:val="baseline"/>
                      <w:lang w:val="en-US" w:eastAsia="zh-CN" w:bidi="ar-SA"/>
                    </w:rPr>
                    <w:t>m³</w:t>
                  </w:r>
                </w:p>
              </w:tc>
              <w:tc>
                <w:tcPr>
                  <w:tcW w:w="1118"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kern w:val="2"/>
                      <w:sz w:val="21"/>
                      <w:szCs w:val="21"/>
                      <w:highlight w:val="none"/>
                      <w:vertAlign w:val="baseline"/>
                      <w:lang w:val="en-US" w:eastAsia="zh-CN" w:bidi="ar-SA"/>
                    </w:rPr>
                    <w:t>13</w:t>
                  </w:r>
                </w:p>
              </w:tc>
              <w:tc>
                <w:tcPr>
                  <w:tcW w:w="1182" w:type="dxa"/>
                  <w:vAlign w:val="center"/>
                </w:tcPr>
                <w:p>
                  <w:pPr>
                    <w:pStyle w:val="67"/>
                    <w:ind w:firstLine="0" w:firstLineChars="0"/>
                    <w:rPr>
                      <w:rFonts w:hint="eastAsia"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00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NO</w:t>
                  </w:r>
                  <w:r>
                    <w:rPr>
                      <w:rFonts w:hint="default" w:ascii="Times New Roman" w:hAnsi="Times New Roman" w:eastAsia="宋体" w:cs="Times New Roman"/>
                      <w:color w:val="auto"/>
                      <w:kern w:val="2"/>
                      <w:sz w:val="21"/>
                      <w:szCs w:val="21"/>
                      <w:highlight w:val="none"/>
                      <w:vertAlign w:val="subscript"/>
                      <w:lang w:val="en-US" w:eastAsia="zh-CN" w:bidi="ar-SA"/>
                    </w:rPr>
                    <w:t>2</w:t>
                  </w:r>
                </w:p>
              </w:tc>
              <w:tc>
                <w:tcPr>
                  <w:tcW w:w="2087"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年平均</w:t>
                  </w:r>
                  <w:r>
                    <w:rPr>
                      <w:rFonts w:hint="eastAsia" w:ascii="Times New Roman" w:hAnsi="Times New Roman" w:eastAsia="宋体" w:cs="Times New Roman"/>
                      <w:color w:val="auto"/>
                      <w:kern w:val="2"/>
                      <w:sz w:val="21"/>
                      <w:szCs w:val="21"/>
                      <w:highlight w:val="none"/>
                      <w:vertAlign w:val="baseline"/>
                      <w:lang w:val="en-US" w:eastAsia="zh-CN" w:bidi="ar-SA"/>
                    </w:rPr>
                    <w:t>-98per</w:t>
                  </w:r>
                </w:p>
              </w:tc>
              <w:tc>
                <w:tcPr>
                  <w:tcW w:w="153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kern w:val="2"/>
                      <w:sz w:val="21"/>
                      <w:szCs w:val="21"/>
                      <w:highlight w:val="none"/>
                      <w:vertAlign w:val="baseline"/>
                      <w:lang w:val="en-US" w:eastAsia="zh-CN" w:bidi="ar-SA"/>
                    </w:rPr>
                    <w:t>28</w:t>
                  </w:r>
                  <w:r>
                    <w:rPr>
                      <w:rFonts w:hint="default" w:ascii="Times New Roman" w:hAnsi="Times New Roman" w:eastAsia="宋体" w:cs="Times New Roman"/>
                      <w:color w:val="auto"/>
                      <w:kern w:val="2"/>
                      <w:sz w:val="21"/>
                      <w:szCs w:val="21"/>
                      <w:highlight w:val="none"/>
                      <w:vertAlign w:val="baseline"/>
                      <w:lang w:val="en-US" w:eastAsia="zh-CN" w:bidi="ar-SA"/>
                    </w:rPr>
                    <w:t>μg/m³</w:t>
                  </w:r>
                </w:p>
              </w:tc>
              <w:tc>
                <w:tcPr>
                  <w:tcW w:w="1393"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40μg/</w:t>
                  </w:r>
                  <w:r>
                    <w:rPr>
                      <w:rFonts w:hint="eastAsia" w:ascii="Times New Roman" w:hAnsi="Times New Roman" w:eastAsia="宋体" w:cs="Times New Roman"/>
                      <w:color w:val="auto"/>
                      <w:kern w:val="2"/>
                      <w:sz w:val="21"/>
                      <w:szCs w:val="21"/>
                      <w:highlight w:val="none"/>
                      <w:vertAlign w:val="baseline"/>
                      <w:lang w:val="en-US" w:eastAsia="zh-CN" w:bidi="ar-SA"/>
                    </w:rPr>
                    <w:t>m³</w:t>
                  </w:r>
                </w:p>
              </w:tc>
              <w:tc>
                <w:tcPr>
                  <w:tcW w:w="1118"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kern w:val="2"/>
                      <w:sz w:val="21"/>
                      <w:szCs w:val="21"/>
                      <w:highlight w:val="none"/>
                      <w:vertAlign w:val="baseline"/>
                      <w:lang w:val="en-US" w:eastAsia="zh-CN" w:bidi="ar-SA"/>
                    </w:rPr>
                    <w:t>70</w:t>
                  </w:r>
                </w:p>
              </w:tc>
              <w:tc>
                <w:tcPr>
                  <w:tcW w:w="1182" w:type="dxa"/>
                  <w:vAlign w:val="center"/>
                </w:tcPr>
                <w:p>
                  <w:pPr>
                    <w:pStyle w:val="67"/>
                    <w:ind w:firstLine="0" w:firstLineChars="0"/>
                    <w:rPr>
                      <w:rFonts w:hint="eastAsia"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00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CO</w:t>
                  </w:r>
                </w:p>
              </w:tc>
              <w:tc>
                <w:tcPr>
                  <w:tcW w:w="2087"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CO-95per24小时平均</w:t>
                  </w:r>
                </w:p>
              </w:tc>
              <w:tc>
                <w:tcPr>
                  <w:tcW w:w="153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1.</w:t>
                  </w:r>
                  <w:r>
                    <w:rPr>
                      <w:rFonts w:hint="eastAsia" w:cs="Times New Roman"/>
                      <w:color w:val="auto"/>
                      <w:kern w:val="2"/>
                      <w:sz w:val="21"/>
                      <w:szCs w:val="21"/>
                      <w:highlight w:val="none"/>
                      <w:vertAlign w:val="baseline"/>
                      <w:lang w:val="en-US" w:eastAsia="zh-CN" w:bidi="ar-SA"/>
                    </w:rPr>
                    <w:t>2</w:t>
                  </w:r>
                  <w:r>
                    <w:rPr>
                      <w:rFonts w:hint="default" w:ascii="Times New Roman" w:hAnsi="Times New Roman" w:eastAsia="宋体" w:cs="Times New Roman"/>
                      <w:color w:val="auto"/>
                      <w:kern w:val="2"/>
                      <w:sz w:val="21"/>
                      <w:szCs w:val="21"/>
                      <w:highlight w:val="none"/>
                      <w:vertAlign w:val="baseline"/>
                      <w:lang w:val="en-US" w:eastAsia="zh-CN" w:bidi="ar-SA"/>
                    </w:rPr>
                    <w:t>mg/m³</w:t>
                  </w:r>
                </w:p>
              </w:tc>
              <w:tc>
                <w:tcPr>
                  <w:tcW w:w="1393"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4</w:t>
                  </w:r>
                  <w:r>
                    <w:rPr>
                      <w:rFonts w:hint="default" w:ascii="Times New Roman" w:hAnsi="Times New Roman" w:eastAsia="宋体" w:cs="Times New Roman"/>
                      <w:color w:val="auto"/>
                      <w:kern w:val="2"/>
                      <w:sz w:val="21"/>
                      <w:szCs w:val="21"/>
                      <w:highlight w:val="none"/>
                      <w:vertAlign w:val="baseline"/>
                      <w:lang w:val="en-US" w:eastAsia="zh-CN" w:bidi="ar-SA"/>
                    </w:rPr>
                    <w:t>μg/</w:t>
                  </w:r>
                  <w:r>
                    <w:rPr>
                      <w:rFonts w:hint="eastAsia" w:ascii="Times New Roman" w:hAnsi="Times New Roman" w:eastAsia="宋体" w:cs="Times New Roman"/>
                      <w:color w:val="auto"/>
                      <w:kern w:val="2"/>
                      <w:sz w:val="21"/>
                      <w:szCs w:val="21"/>
                      <w:highlight w:val="none"/>
                      <w:vertAlign w:val="baseline"/>
                      <w:lang w:val="en-US" w:eastAsia="zh-CN" w:bidi="ar-SA"/>
                    </w:rPr>
                    <w:t>m³</w:t>
                  </w:r>
                </w:p>
              </w:tc>
              <w:tc>
                <w:tcPr>
                  <w:tcW w:w="1118"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kern w:val="2"/>
                      <w:sz w:val="21"/>
                      <w:szCs w:val="21"/>
                      <w:highlight w:val="none"/>
                      <w:vertAlign w:val="baseline"/>
                      <w:lang w:val="en-US" w:eastAsia="zh-CN" w:bidi="ar-SA"/>
                    </w:rPr>
                    <w:t>30</w:t>
                  </w:r>
                </w:p>
              </w:tc>
              <w:tc>
                <w:tcPr>
                  <w:tcW w:w="1182" w:type="dxa"/>
                  <w:vAlign w:val="center"/>
                </w:tcPr>
                <w:p>
                  <w:pPr>
                    <w:pStyle w:val="67"/>
                    <w:ind w:firstLine="0" w:firstLineChars="0"/>
                    <w:rPr>
                      <w:rFonts w:hint="eastAsia"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00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O</w:t>
                  </w:r>
                  <w:r>
                    <w:rPr>
                      <w:rFonts w:hint="default" w:ascii="Times New Roman" w:hAnsi="Times New Roman" w:eastAsia="宋体" w:cs="Times New Roman"/>
                      <w:color w:val="auto"/>
                      <w:kern w:val="2"/>
                      <w:sz w:val="21"/>
                      <w:szCs w:val="21"/>
                      <w:highlight w:val="none"/>
                      <w:vertAlign w:val="subscript"/>
                      <w:lang w:val="en-US" w:eastAsia="zh-CN" w:bidi="ar-SA"/>
                    </w:rPr>
                    <w:t>3</w:t>
                  </w:r>
                </w:p>
              </w:tc>
              <w:tc>
                <w:tcPr>
                  <w:tcW w:w="2087"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O</w:t>
                  </w:r>
                  <w:r>
                    <w:rPr>
                      <w:rFonts w:hint="eastAsia" w:ascii="Times New Roman" w:hAnsi="Times New Roman" w:eastAsia="宋体" w:cs="Times New Roman"/>
                      <w:color w:val="auto"/>
                      <w:kern w:val="2"/>
                      <w:sz w:val="21"/>
                      <w:szCs w:val="21"/>
                      <w:highlight w:val="none"/>
                      <w:vertAlign w:val="subscript"/>
                      <w:lang w:val="en-US" w:eastAsia="zh-CN" w:bidi="ar-SA"/>
                    </w:rPr>
                    <w:t>3</w:t>
                  </w:r>
                  <w:r>
                    <w:rPr>
                      <w:rFonts w:hint="eastAsia" w:ascii="Times New Roman" w:hAnsi="Times New Roman" w:eastAsia="宋体" w:cs="Times New Roman"/>
                      <w:color w:val="auto"/>
                      <w:kern w:val="2"/>
                      <w:sz w:val="21"/>
                      <w:szCs w:val="21"/>
                      <w:highlight w:val="none"/>
                      <w:vertAlign w:val="baseline"/>
                      <w:lang w:val="en-US" w:eastAsia="zh-CN" w:bidi="ar-SA"/>
                    </w:rPr>
                    <w:t>-8H-90per</w:t>
                  </w:r>
                </w:p>
              </w:tc>
              <w:tc>
                <w:tcPr>
                  <w:tcW w:w="153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1</w:t>
                  </w:r>
                  <w:r>
                    <w:rPr>
                      <w:rFonts w:hint="eastAsia" w:cs="Times New Roman"/>
                      <w:color w:val="auto"/>
                      <w:kern w:val="2"/>
                      <w:sz w:val="21"/>
                      <w:szCs w:val="21"/>
                      <w:highlight w:val="none"/>
                      <w:vertAlign w:val="baseline"/>
                      <w:lang w:val="en-US" w:eastAsia="zh-CN" w:bidi="ar-SA"/>
                    </w:rPr>
                    <w:t>75</w:t>
                  </w:r>
                  <w:r>
                    <w:rPr>
                      <w:rFonts w:hint="default" w:ascii="Times New Roman" w:hAnsi="Times New Roman" w:eastAsia="宋体" w:cs="Times New Roman"/>
                      <w:color w:val="auto"/>
                      <w:kern w:val="2"/>
                      <w:sz w:val="21"/>
                      <w:szCs w:val="21"/>
                      <w:highlight w:val="none"/>
                      <w:vertAlign w:val="baseline"/>
                      <w:lang w:val="en-US" w:eastAsia="zh-CN" w:bidi="ar-SA"/>
                    </w:rPr>
                    <w:t>μg/m³</w:t>
                  </w:r>
                </w:p>
              </w:tc>
              <w:tc>
                <w:tcPr>
                  <w:tcW w:w="1393"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160μg/</w:t>
                  </w:r>
                  <w:r>
                    <w:rPr>
                      <w:rFonts w:hint="eastAsia" w:ascii="Times New Roman" w:hAnsi="Times New Roman" w:eastAsia="宋体" w:cs="Times New Roman"/>
                      <w:color w:val="auto"/>
                      <w:kern w:val="2"/>
                      <w:sz w:val="21"/>
                      <w:szCs w:val="21"/>
                      <w:highlight w:val="none"/>
                      <w:vertAlign w:val="baseline"/>
                      <w:lang w:val="en-US" w:eastAsia="zh-CN" w:bidi="ar-SA"/>
                    </w:rPr>
                    <w:t>m³</w:t>
                  </w:r>
                </w:p>
              </w:tc>
              <w:tc>
                <w:tcPr>
                  <w:tcW w:w="1118"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kern w:val="2"/>
                      <w:sz w:val="21"/>
                      <w:szCs w:val="21"/>
                      <w:highlight w:val="none"/>
                      <w:vertAlign w:val="baseline"/>
                      <w:lang w:val="en-US" w:eastAsia="zh-CN" w:bidi="ar-SA"/>
                    </w:rPr>
                    <w:t>109</w:t>
                  </w:r>
                </w:p>
              </w:tc>
              <w:tc>
                <w:tcPr>
                  <w:tcW w:w="1182" w:type="dxa"/>
                  <w:vAlign w:val="center"/>
                </w:tcPr>
                <w:p>
                  <w:pPr>
                    <w:pStyle w:val="67"/>
                    <w:ind w:firstLine="0" w:firstLineChars="0"/>
                    <w:rPr>
                      <w:rFonts w:hint="eastAsia"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kern w:val="2"/>
                      <w:sz w:val="21"/>
                      <w:szCs w:val="21"/>
                      <w:highlight w:val="none"/>
                      <w:vertAlign w:val="baseline"/>
                      <w:lang w:val="en-US" w:eastAsia="zh-CN" w:bidi="ar-SA"/>
                    </w:rPr>
                    <w:t>不达标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00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PM</w:t>
                  </w:r>
                  <w:r>
                    <w:rPr>
                      <w:rFonts w:hint="default" w:ascii="Times New Roman" w:hAnsi="Times New Roman" w:eastAsia="宋体" w:cs="Times New Roman"/>
                      <w:color w:val="auto"/>
                      <w:kern w:val="2"/>
                      <w:sz w:val="21"/>
                      <w:szCs w:val="21"/>
                      <w:highlight w:val="none"/>
                      <w:vertAlign w:val="subscript"/>
                      <w:lang w:val="en-US" w:eastAsia="zh-CN" w:bidi="ar-SA"/>
                    </w:rPr>
                    <w:t>10</w:t>
                  </w:r>
                </w:p>
              </w:tc>
              <w:tc>
                <w:tcPr>
                  <w:tcW w:w="2087"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年平均</w:t>
                  </w:r>
                  <w:r>
                    <w:rPr>
                      <w:rFonts w:hint="eastAsia" w:ascii="Times New Roman" w:hAnsi="Times New Roman" w:eastAsia="宋体" w:cs="Times New Roman"/>
                      <w:color w:val="auto"/>
                      <w:kern w:val="2"/>
                      <w:sz w:val="21"/>
                      <w:szCs w:val="21"/>
                      <w:highlight w:val="none"/>
                      <w:vertAlign w:val="baseline"/>
                      <w:lang w:val="en-US" w:eastAsia="zh-CN" w:bidi="ar-SA"/>
                    </w:rPr>
                    <w:t>-98per</w:t>
                  </w:r>
                </w:p>
              </w:tc>
              <w:tc>
                <w:tcPr>
                  <w:tcW w:w="153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kern w:val="2"/>
                      <w:sz w:val="21"/>
                      <w:szCs w:val="21"/>
                      <w:highlight w:val="none"/>
                      <w:vertAlign w:val="baseline"/>
                      <w:lang w:val="en-US" w:eastAsia="zh-CN" w:bidi="ar-SA"/>
                    </w:rPr>
                    <w:t>56</w:t>
                  </w:r>
                  <w:r>
                    <w:rPr>
                      <w:rFonts w:hint="default" w:ascii="Times New Roman" w:hAnsi="Times New Roman" w:eastAsia="宋体" w:cs="Times New Roman"/>
                      <w:color w:val="auto"/>
                      <w:kern w:val="2"/>
                      <w:sz w:val="21"/>
                      <w:szCs w:val="21"/>
                      <w:highlight w:val="none"/>
                      <w:vertAlign w:val="baseline"/>
                      <w:lang w:val="en-US" w:eastAsia="zh-CN" w:bidi="ar-SA"/>
                    </w:rPr>
                    <w:t>μg/m³</w:t>
                  </w:r>
                </w:p>
              </w:tc>
              <w:tc>
                <w:tcPr>
                  <w:tcW w:w="1393"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kern w:val="2"/>
                      <w:sz w:val="21"/>
                      <w:szCs w:val="21"/>
                      <w:highlight w:val="none"/>
                      <w:vertAlign w:val="baseline"/>
                      <w:lang w:val="en-US" w:eastAsia="zh-CN" w:bidi="ar-SA"/>
                    </w:rPr>
                    <w:t>70</w:t>
                  </w:r>
                  <w:r>
                    <w:rPr>
                      <w:rFonts w:hint="default" w:ascii="Times New Roman" w:hAnsi="Times New Roman" w:eastAsia="宋体" w:cs="Times New Roman"/>
                      <w:color w:val="auto"/>
                      <w:kern w:val="2"/>
                      <w:sz w:val="21"/>
                      <w:szCs w:val="21"/>
                      <w:highlight w:val="none"/>
                      <w:vertAlign w:val="baseline"/>
                      <w:lang w:val="en-US" w:eastAsia="zh-CN" w:bidi="ar-SA"/>
                    </w:rPr>
                    <w:t>μg/</w:t>
                  </w:r>
                  <w:r>
                    <w:rPr>
                      <w:rFonts w:hint="eastAsia" w:ascii="Times New Roman" w:hAnsi="Times New Roman" w:eastAsia="宋体" w:cs="Times New Roman"/>
                      <w:color w:val="auto"/>
                      <w:kern w:val="2"/>
                      <w:sz w:val="21"/>
                      <w:szCs w:val="21"/>
                      <w:highlight w:val="none"/>
                      <w:vertAlign w:val="baseline"/>
                      <w:lang w:val="en-US" w:eastAsia="zh-CN" w:bidi="ar-SA"/>
                    </w:rPr>
                    <w:t>m³</w:t>
                  </w:r>
                </w:p>
              </w:tc>
              <w:tc>
                <w:tcPr>
                  <w:tcW w:w="1118"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kern w:val="2"/>
                      <w:sz w:val="21"/>
                      <w:szCs w:val="21"/>
                      <w:highlight w:val="none"/>
                      <w:vertAlign w:val="baseline"/>
                      <w:lang w:val="en-US" w:eastAsia="zh-CN" w:bidi="ar-SA"/>
                    </w:rPr>
                    <w:t>80</w:t>
                  </w:r>
                </w:p>
              </w:tc>
              <w:tc>
                <w:tcPr>
                  <w:tcW w:w="1182" w:type="dxa"/>
                  <w:vAlign w:val="center"/>
                </w:tcPr>
                <w:p>
                  <w:pPr>
                    <w:pStyle w:val="67"/>
                    <w:ind w:firstLine="0" w:firstLineChars="0"/>
                    <w:rPr>
                      <w:rFonts w:hint="eastAsia"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00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PM</w:t>
                  </w:r>
                  <w:r>
                    <w:rPr>
                      <w:rFonts w:hint="default" w:ascii="Times New Roman" w:hAnsi="Times New Roman" w:eastAsia="宋体" w:cs="Times New Roman"/>
                      <w:color w:val="auto"/>
                      <w:kern w:val="2"/>
                      <w:sz w:val="21"/>
                      <w:szCs w:val="21"/>
                      <w:highlight w:val="none"/>
                      <w:vertAlign w:val="subscript"/>
                      <w:lang w:val="en-US" w:eastAsia="zh-CN" w:bidi="ar-SA"/>
                    </w:rPr>
                    <w:t>2.5</w:t>
                  </w:r>
                </w:p>
              </w:tc>
              <w:tc>
                <w:tcPr>
                  <w:tcW w:w="2087"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年平均</w:t>
                  </w:r>
                  <w:r>
                    <w:rPr>
                      <w:rFonts w:hint="eastAsia" w:ascii="Times New Roman" w:hAnsi="Times New Roman" w:eastAsia="宋体" w:cs="Times New Roman"/>
                      <w:color w:val="auto"/>
                      <w:kern w:val="2"/>
                      <w:sz w:val="21"/>
                      <w:szCs w:val="21"/>
                      <w:highlight w:val="none"/>
                      <w:vertAlign w:val="baseline"/>
                      <w:lang w:val="en-US" w:eastAsia="zh-CN" w:bidi="ar-SA"/>
                    </w:rPr>
                    <w:t>-98per</w:t>
                  </w:r>
                </w:p>
              </w:tc>
              <w:tc>
                <w:tcPr>
                  <w:tcW w:w="1539"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kern w:val="2"/>
                      <w:sz w:val="21"/>
                      <w:szCs w:val="21"/>
                      <w:highlight w:val="none"/>
                      <w:vertAlign w:val="baseline"/>
                      <w:lang w:val="en-US" w:eastAsia="zh-CN" w:bidi="ar-SA"/>
                    </w:rPr>
                    <w:t>27</w:t>
                  </w:r>
                  <w:r>
                    <w:rPr>
                      <w:rFonts w:hint="default" w:ascii="Times New Roman" w:hAnsi="Times New Roman" w:eastAsia="宋体" w:cs="Times New Roman"/>
                      <w:color w:val="auto"/>
                      <w:kern w:val="2"/>
                      <w:sz w:val="21"/>
                      <w:szCs w:val="21"/>
                      <w:highlight w:val="none"/>
                      <w:vertAlign w:val="baseline"/>
                      <w:lang w:val="en-US" w:eastAsia="zh-CN" w:bidi="ar-SA"/>
                    </w:rPr>
                    <w:t>μg/m³</w:t>
                  </w:r>
                </w:p>
              </w:tc>
              <w:tc>
                <w:tcPr>
                  <w:tcW w:w="1393"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kern w:val="2"/>
                      <w:sz w:val="21"/>
                      <w:szCs w:val="21"/>
                      <w:highlight w:val="none"/>
                      <w:vertAlign w:val="baseline"/>
                      <w:lang w:val="en-US" w:eastAsia="zh-CN" w:bidi="ar-SA"/>
                    </w:rPr>
                    <w:t>35</w:t>
                  </w:r>
                  <w:r>
                    <w:rPr>
                      <w:rFonts w:hint="default" w:ascii="Times New Roman" w:hAnsi="Times New Roman" w:eastAsia="宋体" w:cs="Times New Roman"/>
                      <w:color w:val="auto"/>
                      <w:kern w:val="2"/>
                      <w:sz w:val="21"/>
                      <w:szCs w:val="21"/>
                      <w:highlight w:val="none"/>
                      <w:vertAlign w:val="baseline"/>
                      <w:lang w:val="en-US" w:eastAsia="zh-CN" w:bidi="ar-SA"/>
                    </w:rPr>
                    <w:t>μg/</w:t>
                  </w:r>
                  <w:r>
                    <w:rPr>
                      <w:rFonts w:hint="eastAsia" w:ascii="Times New Roman" w:hAnsi="Times New Roman" w:eastAsia="宋体" w:cs="Times New Roman"/>
                      <w:color w:val="auto"/>
                      <w:kern w:val="2"/>
                      <w:sz w:val="21"/>
                      <w:szCs w:val="21"/>
                      <w:highlight w:val="none"/>
                      <w:vertAlign w:val="baseline"/>
                      <w:lang w:val="en-US" w:eastAsia="zh-CN" w:bidi="ar-SA"/>
                    </w:rPr>
                    <w:t>m³</w:t>
                  </w:r>
                </w:p>
              </w:tc>
              <w:tc>
                <w:tcPr>
                  <w:tcW w:w="1118" w:type="dxa"/>
                  <w:vAlign w:val="center"/>
                </w:tcPr>
                <w:p>
                  <w:pPr>
                    <w:pStyle w:val="67"/>
                    <w:ind w:firstLine="0" w:firstLineChars="0"/>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kern w:val="2"/>
                      <w:sz w:val="21"/>
                      <w:szCs w:val="21"/>
                      <w:highlight w:val="none"/>
                      <w:vertAlign w:val="baseline"/>
                      <w:lang w:val="en-US" w:eastAsia="zh-CN" w:bidi="ar-SA"/>
                    </w:rPr>
                    <w:t>77.1</w:t>
                  </w:r>
                </w:p>
              </w:tc>
              <w:tc>
                <w:tcPr>
                  <w:tcW w:w="1182" w:type="dxa"/>
                  <w:vAlign w:val="center"/>
                </w:tcPr>
                <w:p>
                  <w:pPr>
                    <w:pStyle w:val="67"/>
                    <w:ind w:firstLine="0" w:firstLineChars="0"/>
                    <w:rPr>
                      <w:rFonts w:hint="eastAsia"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达标</w:t>
                  </w:r>
                </w:p>
              </w:tc>
            </w:tr>
          </w:tbl>
          <w:p>
            <w:pPr>
              <w:adjustRightInd w:val="0"/>
              <w:snapToGrid w:val="0"/>
              <w:spacing w:line="360" w:lineRule="auto"/>
              <w:ind w:firstLine="480"/>
              <w:rPr>
                <w:rFonts w:hint="default" w:ascii="Times New Roman" w:hAnsi="Times New Roman" w:eastAsia="宋体" w:cs="Times New Roman"/>
                <w:b w:val="0"/>
                <w:bCs/>
                <w:color w:val="auto"/>
                <w:kern w:val="2"/>
                <w:sz w:val="24"/>
                <w:szCs w:val="21"/>
                <w:highlight w:val="none"/>
                <w:lang w:val="en-US" w:eastAsia="zh-CN" w:bidi="ar-SA"/>
              </w:rPr>
            </w:pPr>
            <w:r>
              <w:rPr>
                <w:rFonts w:hint="default" w:ascii="Times New Roman" w:hAnsi="Times New Roman" w:eastAsia="宋体" w:cs="Times New Roman"/>
                <w:b w:val="0"/>
                <w:bCs/>
                <w:color w:val="auto"/>
                <w:kern w:val="2"/>
                <w:sz w:val="24"/>
                <w:szCs w:val="21"/>
                <w:highlight w:val="none"/>
                <w:lang w:val="en-US" w:eastAsia="zh-CN" w:bidi="ar-SA"/>
              </w:rPr>
              <w:t>由上表可知，秦皇岛</w:t>
            </w:r>
            <w:r>
              <w:rPr>
                <w:rFonts w:hint="eastAsia" w:cs="Times New Roman"/>
                <w:b w:val="0"/>
                <w:bCs/>
                <w:color w:val="auto"/>
                <w:kern w:val="2"/>
                <w:sz w:val="24"/>
                <w:szCs w:val="21"/>
                <w:highlight w:val="none"/>
                <w:lang w:val="en-US" w:eastAsia="zh-CN" w:bidi="ar-SA"/>
              </w:rPr>
              <w:t>经济技术开发区</w:t>
            </w:r>
            <w:r>
              <w:rPr>
                <w:rFonts w:hint="default" w:ascii="Times New Roman" w:hAnsi="Times New Roman" w:eastAsia="宋体" w:cs="Times New Roman"/>
                <w:b w:val="0"/>
                <w:bCs/>
                <w:color w:val="auto"/>
                <w:kern w:val="2"/>
                <w:sz w:val="24"/>
                <w:szCs w:val="21"/>
                <w:highlight w:val="none"/>
                <w:lang w:val="en-US" w:eastAsia="zh-CN" w:bidi="ar-SA"/>
              </w:rPr>
              <w:t>环境空气质量</w:t>
            </w:r>
            <w:r>
              <w:rPr>
                <w:rFonts w:hint="eastAsia" w:ascii="Times New Roman" w:hAnsi="Times New Roman" w:eastAsia="宋体" w:cs="Times New Roman"/>
                <w:b w:val="0"/>
                <w:bCs/>
                <w:color w:val="auto"/>
                <w:kern w:val="2"/>
                <w:sz w:val="24"/>
                <w:szCs w:val="21"/>
                <w:highlight w:val="none"/>
                <w:lang w:val="en-US" w:eastAsia="zh-CN" w:bidi="ar-SA"/>
              </w:rPr>
              <w:t>中</w:t>
            </w:r>
            <w:r>
              <w:rPr>
                <w:rFonts w:hint="default" w:ascii="Times New Roman" w:hAnsi="Times New Roman" w:eastAsia="宋体" w:cs="Times New Roman"/>
                <w:b w:val="0"/>
                <w:bCs/>
                <w:color w:val="auto"/>
                <w:kern w:val="2"/>
                <w:sz w:val="24"/>
                <w:szCs w:val="21"/>
                <w:highlight w:val="none"/>
                <w:lang w:val="en-US" w:eastAsia="zh-CN" w:bidi="ar-SA"/>
              </w:rPr>
              <w:t>SO</w:t>
            </w:r>
            <w:r>
              <w:rPr>
                <w:rFonts w:hint="default" w:ascii="Times New Roman" w:hAnsi="Times New Roman" w:eastAsia="宋体" w:cs="Times New Roman"/>
                <w:b w:val="0"/>
                <w:bCs/>
                <w:color w:val="auto"/>
                <w:kern w:val="2"/>
                <w:sz w:val="24"/>
                <w:szCs w:val="21"/>
                <w:highlight w:val="none"/>
                <w:vertAlign w:val="subscript"/>
                <w:lang w:val="en-US" w:eastAsia="zh-CN" w:bidi="ar-SA"/>
              </w:rPr>
              <w:t>2</w:t>
            </w:r>
            <w:r>
              <w:rPr>
                <w:rFonts w:hint="eastAsia" w:ascii="Times New Roman" w:hAnsi="Times New Roman" w:eastAsia="宋体" w:cs="Times New Roman"/>
                <w:b w:val="0"/>
                <w:bCs/>
                <w:color w:val="auto"/>
                <w:kern w:val="2"/>
                <w:sz w:val="24"/>
                <w:szCs w:val="21"/>
                <w:highlight w:val="none"/>
                <w:lang w:val="en-US" w:eastAsia="zh-CN" w:bidi="ar-SA"/>
              </w:rPr>
              <w:t>、</w:t>
            </w:r>
            <w:r>
              <w:rPr>
                <w:rFonts w:hint="default" w:ascii="Times New Roman" w:hAnsi="Times New Roman" w:eastAsia="宋体" w:cs="Times New Roman"/>
                <w:b w:val="0"/>
                <w:bCs/>
                <w:color w:val="auto"/>
                <w:kern w:val="2"/>
                <w:sz w:val="24"/>
                <w:szCs w:val="21"/>
                <w:highlight w:val="none"/>
                <w:lang w:val="en-US" w:eastAsia="zh-CN" w:bidi="ar-SA"/>
              </w:rPr>
              <w:t>NO</w:t>
            </w:r>
            <w:r>
              <w:rPr>
                <w:rFonts w:hint="default" w:ascii="Times New Roman" w:hAnsi="Times New Roman" w:eastAsia="宋体" w:cs="Times New Roman"/>
                <w:b w:val="0"/>
                <w:bCs/>
                <w:color w:val="auto"/>
                <w:kern w:val="2"/>
                <w:sz w:val="24"/>
                <w:szCs w:val="21"/>
                <w:highlight w:val="none"/>
                <w:vertAlign w:val="subscript"/>
                <w:lang w:val="en-US" w:eastAsia="zh-CN" w:bidi="ar-SA"/>
              </w:rPr>
              <w:t>2</w:t>
            </w:r>
            <w:r>
              <w:rPr>
                <w:rFonts w:hint="eastAsia" w:ascii="Times New Roman" w:hAnsi="Times New Roman" w:eastAsia="宋体" w:cs="Times New Roman"/>
                <w:b w:val="0"/>
                <w:bCs/>
                <w:color w:val="auto"/>
                <w:kern w:val="2"/>
                <w:sz w:val="24"/>
                <w:szCs w:val="21"/>
                <w:highlight w:val="none"/>
                <w:lang w:val="en-US" w:eastAsia="zh-CN" w:bidi="ar-SA"/>
              </w:rPr>
              <w:t>、</w:t>
            </w:r>
            <w:r>
              <w:rPr>
                <w:rFonts w:hint="default" w:ascii="Times New Roman" w:hAnsi="Times New Roman" w:eastAsia="宋体" w:cs="Times New Roman"/>
                <w:b w:val="0"/>
                <w:bCs/>
                <w:color w:val="auto"/>
                <w:kern w:val="2"/>
                <w:sz w:val="24"/>
                <w:szCs w:val="21"/>
                <w:highlight w:val="none"/>
                <w:lang w:val="en-US" w:eastAsia="zh-CN" w:bidi="ar-SA"/>
              </w:rPr>
              <w:t>PM</w:t>
            </w:r>
            <w:r>
              <w:rPr>
                <w:rFonts w:hint="default" w:ascii="Times New Roman" w:hAnsi="Times New Roman" w:eastAsia="宋体" w:cs="Times New Roman"/>
                <w:b w:val="0"/>
                <w:bCs/>
                <w:color w:val="auto"/>
                <w:kern w:val="2"/>
                <w:sz w:val="24"/>
                <w:szCs w:val="21"/>
                <w:highlight w:val="none"/>
                <w:vertAlign w:val="subscript"/>
                <w:lang w:val="en-US" w:eastAsia="zh-CN" w:bidi="ar-SA"/>
              </w:rPr>
              <w:t>10</w:t>
            </w:r>
            <w:r>
              <w:rPr>
                <w:rFonts w:hint="eastAsia" w:ascii="Times New Roman" w:hAnsi="Times New Roman" w:eastAsia="宋体" w:cs="Times New Roman"/>
                <w:b w:val="0"/>
                <w:bCs/>
                <w:color w:val="auto"/>
                <w:kern w:val="2"/>
                <w:sz w:val="24"/>
                <w:szCs w:val="21"/>
                <w:highlight w:val="none"/>
                <w:lang w:val="en-US" w:eastAsia="zh-CN" w:bidi="ar-SA"/>
              </w:rPr>
              <w:t>、</w:t>
            </w:r>
            <w:r>
              <w:rPr>
                <w:rFonts w:hint="default" w:ascii="Times New Roman" w:hAnsi="Times New Roman" w:eastAsia="宋体" w:cs="Times New Roman"/>
                <w:b w:val="0"/>
                <w:bCs/>
                <w:color w:val="auto"/>
                <w:kern w:val="2"/>
                <w:sz w:val="24"/>
                <w:szCs w:val="21"/>
                <w:highlight w:val="none"/>
                <w:lang w:val="en-US" w:eastAsia="zh-CN" w:bidi="ar-SA"/>
              </w:rPr>
              <w:t>PM</w:t>
            </w:r>
            <w:r>
              <w:rPr>
                <w:rFonts w:hint="default" w:ascii="Times New Roman" w:hAnsi="Times New Roman" w:eastAsia="宋体" w:cs="Times New Roman"/>
                <w:b w:val="0"/>
                <w:bCs/>
                <w:color w:val="auto"/>
                <w:kern w:val="2"/>
                <w:sz w:val="24"/>
                <w:szCs w:val="21"/>
                <w:highlight w:val="none"/>
                <w:vertAlign w:val="subscript"/>
                <w:lang w:val="en-US" w:eastAsia="zh-CN" w:bidi="ar-SA"/>
              </w:rPr>
              <w:t>2.5</w:t>
            </w:r>
            <w:r>
              <w:rPr>
                <w:rFonts w:hint="eastAsia" w:ascii="Times New Roman" w:hAnsi="Times New Roman" w:eastAsia="宋体" w:cs="Times New Roman"/>
                <w:b w:val="0"/>
                <w:bCs/>
                <w:color w:val="auto"/>
                <w:kern w:val="2"/>
                <w:sz w:val="24"/>
                <w:szCs w:val="21"/>
                <w:highlight w:val="none"/>
                <w:vertAlign w:val="baseline"/>
                <w:lang w:val="en-US" w:eastAsia="zh-CN" w:bidi="ar-SA"/>
              </w:rPr>
              <w:t>、</w:t>
            </w:r>
            <w:r>
              <w:rPr>
                <w:rFonts w:hint="default" w:ascii="Times New Roman" w:hAnsi="Times New Roman" w:eastAsia="宋体" w:cs="Times New Roman"/>
                <w:b w:val="0"/>
                <w:bCs/>
                <w:color w:val="auto"/>
                <w:kern w:val="2"/>
                <w:sz w:val="24"/>
                <w:szCs w:val="21"/>
                <w:highlight w:val="none"/>
                <w:lang w:val="en-US" w:eastAsia="zh-CN" w:bidi="ar-SA"/>
              </w:rPr>
              <w:t>CO满足《环境空气质量标准》（GB3095-2012）二级标准要求</w:t>
            </w:r>
            <w:r>
              <w:rPr>
                <w:rFonts w:hint="eastAsia" w:ascii="Times New Roman" w:hAnsi="Times New Roman" w:eastAsia="宋体" w:cs="Times New Roman"/>
                <w:b w:val="0"/>
                <w:bCs/>
                <w:color w:val="auto"/>
                <w:kern w:val="2"/>
                <w:sz w:val="24"/>
                <w:szCs w:val="21"/>
                <w:highlight w:val="none"/>
                <w:lang w:val="en-US" w:eastAsia="zh-CN" w:bidi="ar-SA"/>
              </w:rPr>
              <w:t>，</w:t>
            </w:r>
            <w:r>
              <w:rPr>
                <w:rFonts w:hint="eastAsia" w:cs="Times New Roman"/>
                <w:b w:val="0"/>
                <w:bCs/>
                <w:color w:val="auto"/>
                <w:kern w:val="2"/>
                <w:sz w:val="24"/>
                <w:szCs w:val="21"/>
                <w:highlight w:val="none"/>
                <w:lang w:val="en-US" w:eastAsia="zh-CN" w:bidi="ar-SA"/>
              </w:rPr>
              <w:t>超标因子O</w:t>
            </w:r>
            <w:r>
              <w:rPr>
                <w:rFonts w:hint="eastAsia" w:cs="Times New Roman"/>
                <w:b w:val="0"/>
                <w:bCs/>
                <w:color w:val="auto"/>
                <w:kern w:val="2"/>
                <w:sz w:val="24"/>
                <w:szCs w:val="21"/>
                <w:highlight w:val="none"/>
                <w:vertAlign w:val="subscript"/>
                <w:lang w:val="en-US" w:eastAsia="zh-CN" w:bidi="ar-SA"/>
              </w:rPr>
              <w:t>3</w:t>
            </w:r>
            <w:r>
              <w:rPr>
                <w:rFonts w:hint="eastAsia" w:cs="Times New Roman"/>
                <w:b w:val="0"/>
                <w:bCs/>
                <w:color w:val="auto"/>
                <w:kern w:val="2"/>
                <w:sz w:val="24"/>
                <w:szCs w:val="21"/>
                <w:highlight w:val="none"/>
                <w:lang w:val="en-US" w:eastAsia="zh-CN" w:bidi="ar-SA"/>
              </w:rPr>
              <w:t>，</w:t>
            </w:r>
            <w:r>
              <w:rPr>
                <w:rFonts w:hint="default" w:ascii="Times New Roman" w:hAnsi="Times New Roman" w:eastAsia="宋体" w:cs="Times New Roman"/>
                <w:b w:val="0"/>
                <w:bCs/>
                <w:color w:val="auto"/>
                <w:kern w:val="2"/>
                <w:sz w:val="24"/>
                <w:szCs w:val="21"/>
                <w:highlight w:val="none"/>
                <w:lang w:val="en-US" w:eastAsia="zh-CN" w:bidi="ar-SA"/>
              </w:rPr>
              <w:t>即本项目所在区域为</w:t>
            </w:r>
            <w:r>
              <w:rPr>
                <w:rFonts w:hint="eastAsia" w:cs="Times New Roman"/>
                <w:b w:val="0"/>
                <w:bCs/>
                <w:color w:val="auto"/>
                <w:kern w:val="2"/>
                <w:sz w:val="24"/>
                <w:szCs w:val="21"/>
                <w:highlight w:val="none"/>
                <w:lang w:val="en-US" w:eastAsia="zh-CN" w:bidi="ar-SA"/>
              </w:rPr>
              <w:t>不</w:t>
            </w:r>
            <w:r>
              <w:rPr>
                <w:rFonts w:hint="default" w:ascii="Times New Roman" w:hAnsi="Times New Roman" w:eastAsia="宋体" w:cs="Times New Roman"/>
                <w:b w:val="0"/>
                <w:bCs/>
                <w:color w:val="auto"/>
                <w:kern w:val="2"/>
                <w:sz w:val="24"/>
                <w:szCs w:val="21"/>
                <w:highlight w:val="none"/>
                <w:lang w:val="en-US" w:eastAsia="zh-CN" w:bidi="ar-SA"/>
              </w:rPr>
              <w:t>达标区。</w:t>
            </w:r>
          </w:p>
          <w:p>
            <w:pPr>
              <w:adjustRightInd w:val="0"/>
              <w:snapToGrid w:val="0"/>
              <w:spacing w:line="360" w:lineRule="auto"/>
              <w:ind w:firstLine="480"/>
              <w:rPr>
                <w:rFonts w:hint="default" w:ascii="Times New Roman" w:hAnsi="Times New Roman" w:eastAsia="宋体" w:cs="Times New Roman"/>
                <w:b w:val="0"/>
                <w:bCs/>
                <w:color w:val="auto"/>
                <w:kern w:val="2"/>
                <w:sz w:val="24"/>
                <w:szCs w:val="21"/>
                <w:highlight w:val="none"/>
                <w:lang w:val="en-US" w:eastAsia="zh-CN" w:bidi="ar-SA"/>
              </w:rPr>
            </w:pPr>
            <w:r>
              <w:rPr>
                <w:rFonts w:hint="eastAsia" w:ascii="Times New Roman" w:hAnsi="Times New Roman" w:eastAsia="宋体" w:cs="Times New Roman"/>
                <w:b w:val="0"/>
                <w:bCs/>
                <w:color w:val="auto"/>
                <w:kern w:val="2"/>
                <w:sz w:val="24"/>
                <w:szCs w:val="21"/>
                <w:highlight w:val="none"/>
                <w:lang w:val="en-US" w:eastAsia="zh-CN" w:bidi="ar-SA"/>
              </w:rPr>
              <w:t>秦皇岛市</w:t>
            </w:r>
            <w:r>
              <w:rPr>
                <w:rFonts w:hint="default" w:ascii="Times New Roman" w:hAnsi="Times New Roman" w:eastAsia="宋体" w:cs="Times New Roman"/>
                <w:b w:val="0"/>
                <w:bCs/>
                <w:color w:val="auto"/>
                <w:kern w:val="2"/>
                <w:sz w:val="24"/>
                <w:szCs w:val="21"/>
                <w:highlight w:val="none"/>
                <w:lang w:val="en-US" w:eastAsia="zh-CN" w:bidi="ar-SA"/>
              </w:rPr>
              <w:t>正在实施</w:t>
            </w:r>
            <w:r>
              <w:rPr>
                <w:rFonts w:hint="eastAsia" w:ascii="Times New Roman" w:hAnsi="Times New Roman" w:eastAsia="宋体" w:cs="Times New Roman"/>
                <w:b w:val="0"/>
                <w:bCs/>
                <w:color w:val="auto"/>
                <w:kern w:val="2"/>
                <w:sz w:val="24"/>
                <w:szCs w:val="21"/>
                <w:highlight w:val="none"/>
                <w:lang w:val="en-US" w:eastAsia="zh-CN" w:bidi="ar-SA"/>
              </w:rPr>
              <w:t>《关于强力推进大气污染综合治理的实施意见》和18个专项实施方案、《秦皇岛市重污染天气应急减排实施方案》等一系列举措</w:t>
            </w:r>
            <w:r>
              <w:rPr>
                <w:rFonts w:hint="default" w:ascii="Times New Roman" w:hAnsi="Times New Roman" w:eastAsia="宋体" w:cs="Times New Roman"/>
                <w:b w:val="0"/>
                <w:bCs/>
                <w:color w:val="auto"/>
                <w:kern w:val="2"/>
                <w:sz w:val="24"/>
                <w:szCs w:val="21"/>
                <w:highlight w:val="none"/>
                <w:lang w:val="en-US" w:eastAsia="zh-CN" w:bidi="ar-SA"/>
              </w:rPr>
              <w:t>，</w:t>
            </w:r>
            <w:r>
              <w:rPr>
                <w:rFonts w:hint="eastAsia" w:ascii="Times New Roman" w:hAnsi="Times New Roman" w:eastAsia="宋体" w:cs="Times New Roman"/>
                <w:b w:val="0"/>
                <w:bCs/>
                <w:color w:val="auto"/>
                <w:kern w:val="2"/>
                <w:sz w:val="24"/>
                <w:szCs w:val="21"/>
                <w:highlight w:val="none"/>
                <w:lang w:val="en-US" w:eastAsia="zh-CN" w:bidi="ar-SA"/>
              </w:rPr>
              <w:t>采取</w:t>
            </w:r>
            <w:r>
              <w:rPr>
                <w:rFonts w:hint="default" w:ascii="Times New Roman" w:hAnsi="Times New Roman" w:eastAsia="宋体" w:cs="Times New Roman"/>
                <w:b w:val="0"/>
                <w:bCs/>
                <w:color w:val="auto"/>
                <w:kern w:val="2"/>
                <w:sz w:val="24"/>
                <w:szCs w:val="21"/>
                <w:highlight w:val="none"/>
                <w:lang w:val="en-US" w:eastAsia="zh-CN" w:bidi="ar-SA"/>
              </w:rPr>
              <w:t>开展产业结构和空间布局调整、散煤治理和清洁替代、工业污染源深度治理、挥发性有机物（VOCs）治理、机动车（船）污染治理、扬尘综合治理、秸秆禁烧和垃圾清理、重污染天气应对八大攻坚战役</w:t>
            </w:r>
            <w:r>
              <w:rPr>
                <w:rFonts w:hint="eastAsia" w:ascii="Times New Roman" w:hAnsi="Times New Roman" w:eastAsia="宋体" w:cs="Times New Roman"/>
                <w:b w:val="0"/>
                <w:bCs/>
                <w:color w:val="auto"/>
                <w:kern w:val="2"/>
                <w:sz w:val="24"/>
                <w:szCs w:val="21"/>
                <w:highlight w:val="none"/>
                <w:lang w:val="en-US" w:eastAsia="zh-CN" w:bidi="ar-SA"/>
              </w:rPr>
              <w:t>，区域环境质量将得到持续改善</w:t>
            </w:r>
            <w:r>
              <w:rPr>
                <w:rFonts w:hint="default" w:ascii="Times New Roman" w:hAnsi="Times New Roman" w:eastAsia="宋体" w:cs="Times New Roman"/>
                <w:b w:val="0"/>
                <w:bCs/>
                <w:color w:val="auto"/>
                <w:kern w:val="2"/>
                <w:sz w:val="24"/>
                <w:szCs w:val="21"/>
                <w:highlight w:val="none"/>
                <w:lang w:val="en-US" w:eastAsia="zh-CN" w:bidi="ar-SA"/>
              </w:rPr>
              <w:t>。</w:t>
            </w:r>
          </w:p>
          <w:p>
            <w:pPr>
              <w:pStyle w:val="7"/>
              <w:spacing w:line="360" w:lineRule="auto"/>
              <w:ind w:firstLine="0" w:firstLineChars="0"/>
              <w:rPr>
                <w:rFonts w:hint="default" w:ascii="Times New Roman" w:hAnsi="Times New Roman" w:eastAsia="宋体" w:cs="Times New Roman"/>
                <w:color w:val="auto"/>
                <w:sz w:val="28"/>
                <w:szCs w:val="28"/>
                <w:highlight w:val="none"/>
              </w:rPr>
            </w:pPr>
            <w:r>
              <w:rPr>
                <w:rFonts w:hint="default" w:ascii="Times New Roman" w:hAnsi="Times New Roman" w:eastAsia="宋体" w:cs="Times New Roman"/>
                <w:color w:val="auto"/>
                <w:sz w:val="28"/>
                <w:szCs w:val="28"/>
                <w:highlight w:val="none"/>
              </w:rPr>
              <w:t>2声环境质量现状</w:t>
            </w:r>
          </w:p>
          <w:p>
            <w:pPr>
              <w:spacing w:line="360" w:lineRule="auto"/>
              <w:ind w:firstLine="480" w:firstLineChars="200"/>
              <w:jc w:val="left"/>
              <w:rPr>
                <w:rFonts w:hint="default" w:ascii="Times New Roman" w:hAnsi="Times New Roman" w:eastAsia="宋体" w:cs="Times New Roman"/>
                <w:b w:val="0"/>
                <w:bCs/>
                <w:color w:val="auto"/>
                <w:kern w:val="2"/>
                <w:sz w:val="24"/>
                <w:szCs w:val="21"/>
                <w:highlight w:val="none"/>
                <w:lang w:val="en-US" w:eastAsia="zh-CN" w:bidi="ar-SA"/>
              </w:rPr>
            </w:pPr>
            <w:r>
              <w:rPr>
                <w:rFonts w:hint="default" w:ascii="Times New Roman" w:hAnsi="Times New Roman" w:eastAsia="宋体" w:cs="Times New Roman"/>
                <w:b w:val="0"/>
                <w:bCs/>
                <w:color w:val="auto"/>
                <w:kern w:val="2"/>
                <w:sz w:val="24"/>
                <w:szCs w:val="21"/>
                <w:highlight w:val="none"/>
                <w:lang w:val="en-US" w:eastAsia="zh-CN" w:bidi="ar-SA"/>
              </w:rPr>
              <w:t>本项目50米范围内无声环境保护目标，无需现状调查。</w:t>
            </w:r>
          </w:p>
          <w:p>
            <w:pPr>
              <w:spacing w:line="360" w:lineRule="auto"/>
              <w:ind w:left="0" w:leftChars="0" w:firstLine="0" w:firstLineChars="0"/>
              <w:jc w:val="left"/>
              <w:rPr>
                <w:rFonts w:hint="default" w:ascii="Times New Roman" w:hAnsi="Times New Roman" w:eastAsia="宋体" w:cs="Times New Roman"/>
                <w:b/>
                <w:color w:val="auto"/>
                <w:kern w:val="2"/>
                <w:sz w:val="28"/>
                <w:szCs w:val="28"/>
                <w:highlight w:val="none"/>
                <w:lang w:val="en-US" w:eastAsia="zh-CN" w:bidi="ar-SA"/>
              </w:rPr>
            </w:pPr>
            <w:r>
              <w:rPr>
                <w:rFonts w:hint="default" w:ascii="Times New Roman" w:hAnsi="Times New Roman" w:eastAsia="宋体" w:cs="Times New Roman"/>
                <w:b/>
                <w:color w:val="auto"/>
                <w:kern w:val="2"/>
                <w:sz w:val="28"/>
                <w:szCs w:val="28"/>
                <w:highlight w:val="none"/>
                <w:lang w:val="en-US" w:eastAsia="zh-CN" w:bidi="ar-SA"/>
              </w:rPr>
              <w:t>3生态环境</w:t>
            </w:r>
          </w:p>
          <w:p>
            <w:pPr>
              <w:spacing w:line="360" w:lineRule="auto"/>
              <w:ind w:firstLine="480" w:firstLineChars="200"/>
              <w:jc w:val="left"/>
              <w:rPr>
                <w:rFonts w:hint="default" w:ascii="Times New Roman" w:hAnsi="Times New Roman" w:cs="Times New Roman"/>
                <w:color w:val="auto"/>
                <w:highlight w:val="none"/>
              </w:rPr>
            </w:pPr>
            <w:r>
              <w:rPr>
                <w:rFonts w:hint="eastAsia" w:cs="Times New Roman"/>
                <w:b w:val="0"/>
                <w:bCs/>
                <w:color w:val="auto"/>
                <w:kern w:val="2"/>
                <w:sz w:val="24"/>
                <w:szCs w:val="21"/>
                <w:highlight w:val="none"/>
                <w:lang w:val="en-US" w:eastAsia="zh-CN" w:bidi="ar-SA"/>
              </w:rPr>
              <w:t>本项目利用现有厂房</w:t>
            </w:r>
            <w:r>
              <w:rPr>
                <w:rFonts w:hint="default" w:ascii="Times New Roman" w:hAnsi="Times New Roman" w:eastAsia="宋体" w:cs="Times New Roman"/>
                <w:b w:val="0"/>
                <w:bCs/>
                <w:color w:val="auto"/>
                <w:kern w:val="2"/>
                <w:sz w:val="24"/>
                <w:szCs w:val="21"/>
                <w:highlight w:val="none"/>
                <w:lang w:val="en-US" w:eastAsia="zh-CN" w:bidi="ar-SA"/>
              </w:rPr>
              <w:t>，无需现状调查。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17" w:type="dxa"/>
            <w:vAlign w:val="center"/>
          </w:tcPr>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环境</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保护</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目标</w:t>
            </w:r>
          </w:p>
        </w:tc>
        <w:tc>
          <w:tcPr>
            <w:tcW w:w="8554" w:type="dxa"/>
            <w:vAlign w:val="center"/>
          </w:tcPr>
          <w:p>
            <w:pPr>
              <w:adjustRightInd w:val="0"/>
              <w:snapToGrid w:val="0"/>
              <w:spacing w:line="360" w:lineRule="auto"/>
              <w:ind w:firstLine="480" w:firstLineChars="200"/>
              <w:jc w:val="left"/>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rPr>
              <w:t>本项目建设地点</w:t>
            </w:r>
            <w:r>
              <w:rPr>
                <w:rFonts w:eastAsia="宋体"/>
                <w:color w:val="auto"/>
                <w:highlight w:val="none"/>
              </w:rPr>
              <w:t>位于</w:t>
            </w:r>
            <w:r>
              <w:rPr>
                <w:rFonts w:hint="eastAsia" w:cs="Times New Roman"/>
                <w:color w:val="auto"/>
                <w:highlight w:val="none"/>
                <w:lang w:val="en-US" w:eastAsia="zh-CN"/>
              </w:rPr>
              <w:t>秦皇岛经济技</w:t>
            </w:r>
            <w:r>
              <w:rPr>
                <w:rFonts w:hint="eastAsia" w:ascii="Times New Roman" w:hAnsi="Times New Roman" w:eastAsia="宋体" w:cs="Times New Roman"/>
                <w:color w:val="auto"/>
                <w:highlight w:val="none"/>
                <w:lang w:val="en-US" w:eastAsia="zh-CN"/>
              </w:rPr>
              <w:t>术开发区</w:t>
            </w:r>
            <w:r>
              <w:rPr>
                <w:rFonts w:hint="eastAsia" w:cs="Times New Roman"/>
                <w:color w:val="auto"/>
                <w:highlight w:val="none"/>
                <w:lang w:val="en-US" w:eastAsia="zh-CN"/>
              </w:rPr>
              <w:t>天山北路8号</w:t>
            </w:r>
            <w:r>
              <w:rPr>
                <w:rFonts w:ascii="Times New Roman" w:hAnsi="Times New Roman" w:eastAsia="宋体" w:cs="Times New Roman"/>
                <w:color w:val="auto"/>
                <w:highlight w:val="none"/>
              </w:rPr>
              <w:t>，厂址中心坐标为</w:t>
            </w:r>
            <w:r>
              <w:rPr>
                <w:rFonts w:hint="default" w:ascii="Times New Roman" w:hAnsi="Times New Roman" w:eastAsia="宋体" w:cs="Times New Roman"/>
                <w:color w:val="auto"/>
                <w:highlight w:val="none"/>
              </w:rPr>
              <w:t>北纬39°55′48.56</w:t>
            </w:r>
            <w:r>
              <w:rPr>
                <w:rFonts w:hint="eastAsia" w:ascii="Times New Roman" w:hAnsi="Times New Roman" w:eastAsia="宋体" w:cs="Times New Roman"/>
                <w:color w:val="auto"/>
                <w:highlight w:val="none"/>
                <w:lang w:val="en-US" w:eastAsia="zh-CN"/>
              </w:rPr>
              <w:t>3</w:t>
            </w:r>
            <w:r>
              <w:rPr>
                <w:rFonts w:hint="default" w:ascii="Times New Roman" w:hAnsi="Times New Roman" w:eastAsia="宋体" w:cs="Times New Roman"/>
                <w:color w:val="auto"/>
                <w:highlight w:val="none"/>
              </w:rPr>
              <w:t>″、东经119°30′21.54</w:t>
            </w:r>
            <w:r>
              <w:rPr>
                <w:rFonts w:hint="eastAsia" w:ascii="Times New Roman" w:hAnsi="Times New Roman" w:eastAsia="宋体" w:cs="Times New Roman"/>
                <w:color w:val="auto"/>
                <w:highlight w:val="none"/>
                <w:lang w:val="en-US" w:eastAsia="zh-CN"/>
              </w:rPr>
              <w:t>7</w:t>
            </w:r>
            <w:r>
              <w:rPr>
                <w:rFonts w:hint="default" w:ascii="Times New Roman" w:hAnsi="Times New Roman" w:eastAsia="宋体" w:cs="Times New Roman"/>
                <w:color w:val="auto"/>
                <w:highlight w:val="none"/>
              </w:rPr>
              <w:t>″</w:t>
            </w:r>
            <w:r>
              <w:rPr>
                <w:rFonts w:hint="default" w:ascii="Times New Roman" w:hAnsi="Times New Roman" w:eastAsia="宋体" w:cs="Times New Roman"/>
                <w:color w:val="auto"/>
                <w:highlight w:val="none"/>
                <w:lang w:eastAsia="zh-CN"/>
              </w:rPr>
              <w:t>。</w:t>
            </w:r>
            <w:r>
              <w:rPr>
                <w:rFonts w:hint="default" w:ascii="Times New Roman" w:hAnsi="Times New Roman" w:eastAsia="宋体" w:cs="Times New Roman"/>
                <w:color w:val="auto"/>
                <w:sz w:val="24"/>
                <w:highlight w:val="none"/>
              </w:rPr>
              <w:t>本项目厂址不在自然保护区、风景名胜区、世界文化和自然遗产地、海洋特别保护区、饮用水水源保护区等环境敏感区范围内</w:t>
            </w:r>
            <w:r>
              <w:rPr>
                <w:rFonts w:hint="eastAsia" w:cs="Times New Roman"/>
                <w:color w:val="auto"/>
                <w:sz w:val="24"/>
                <w:highlight w:val="none"/>
                <w:lang w:eastAsia="zh-CN"/>
              </w:rPr>
              <w:t>。</w:t>
            </w:r>
          </w:p>
          <w:p>
            <w:pPr>
              <w:spacing w:line="360" w:lineRule="auto"/>
              <w:ind w:firstLine="480" w:firstLineChars="200"/>
              <w:jc w:val="left"/>
              <w:rPr>
                <w:rFonts w:hint="default" w:ascii="Times New Roman" w:hAnsi="Times New Roman" w:eastAsia="宋体" w:cs="Times New Roman"/>
                <w:b/>
                <w:bCs/>
                <w:color w:val="auto"/>
                <w:highlight w:val="none"/>
              </w:rPr>
            </w:pPr>
            <w:r>
              <w:rPr>
                <w:rFonts w:hint="default" w:ascii="Times New Roman" w:hAnsi="Times New Roman" w:eastAsia="宋体" w:cs="Times New Roman"/>
                <w:color w:val="auto"/>
                <w:sz w:val="24"/>
                <w:highlight w:val="none"/>
              </w:rPr>
              <w:t>根据项目工程特点、评价区域环境特征，项目环境敏感点保护目标及保护级别，见表</w:t>
            </w:r>
            <w:r>
              <w:rPr>
                <w:rFonts w:hint="eastAsia" w:cs="Times New Roman"/>
                <w:color w:val="auto"/>
                <w:sz w:val="24"/>
                <w:highlight w:val="none"/>
                <w:lang w:val="en-US" w:eastAsia="zh-CN"/>
              </w:rPr>
              <w:t>3-2</w:t>
            </w:r>
            <w:r>
              <w:rPr>
                <w:rFonts w:hint="default" w:ascii="Times New Roman" w:hAnsi="Times New Roman" w:eastAsia="宋体" w:cs="Times New Roman"/>
                <w:color w:val="auto"/>
                <w:sz w:val="24"/>
                <w:highlight w:val="none"/>
              </w:rPr>
              <w:t>。</w:t>
            </w:r>
          </w:p>
          <w:p>
            <w:pPr>
              <w:spacing w:line="240" w:lineRule="auto"/>
              <w:jc w:val="center"/>
              <w:rPr>
                <w:rFonts w:hint="default" w:ascii="Times New Roman" w:hAnsi="Times New Roman" w:eastAsia="宋体" w:cs="Times New Roman"/>
                <w:b/>
                <w:bCs/>
                <w:color w:val="auto"/>
                <w:highlight w:val="none"/>
              </w:rPr>
            </w:pPr>
            <w:r>
              <w:rPr>
                <w:rFonts w:hint="default" w:ascii="Times New Roman" w:hAnsi="Times New Roman" w:eastAsia="宋体" w:cs="Times New Roman"/>
                <w:b/>
                <w:bCs/>
                <w:color w:val="auto"/>
                <w:highlight w:val="none"/>
              </w:rPr>
              <w:t>表</w:t>
            </w:r>
            <w:r>
              <w:rPr>
                <w:rFonts w:hint="eastAsia" w:cs="Times New Roman"/>
                <w:b/>
                <w:bCs/>
                <w:color w:val="auto"/>
                <w:highlight w:val="none"/>
                <w:lang w:val="en-US" w:eastAsia="zh-CN"/>
              </w:rPr>
              <w:t xml:space="preserve">3-2 </w:t>
            </w:r>
            <w:r>
              <w:rPr>
                <w:rFonts w:hint="default" w:ascii="Times New Roman" w:hAnsi="Times New Roman" w:eastAsia="宋体" w:cs="Times New Roman"/>
                <w:b/>
                <w:bCs/>
                <w:color w:val="auto"/>
                <w:highlight w:val="none"/>
              </w:rPr>
              <w:t>本项目环境保护目标情况一览表</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2"/>
              <w:gridCol w:w="1736"/>
              <w:gridCol w:w="1077"/>
              <w:gridCol w:w="1476"/>
              <w:gridCol w:w="1167"/>
              <w:gridCol w:w="1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4" w:type="dxa"/>
                  <w:tcBorders>
                    <w:tl2br w:val="nil"/>
                    <w:tr2bl w:val="nil"/>
                  </w:tcBorders>
                  <w:noWrap/>
                  <w:vAlign w:val="center"/>
                </w:tcPr>
                <w:p>
                  <w:pPr>
                    <w:pStyle w:val="7"/>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环境要素</w:t>
                  </w:r>
                </w:p>
              </w:tc>
              <w:tc>
                <w:tcPr>
                  <w:tcW w:w="1540" w:type="dxa"/>
                  <w:tcBorders>
                    <w:tl2br w:val="nil"/>
                    <w:tr2bl w:val="nil"/>
                  </w:tcBorders>
                  <w:noWrap/>
                  <w:vAlign w:val="center"/>
                </w:tcPr>
                <w:p>
                  <w:pPr>
                    <w:pStyle w:val="7"/>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名称</w:t>
                  </w:r>
                </w:p>
              </w:tc>
              <w:tc>
                <w:tcPr>
                  <w:tcW w:w="955" w:type="dxa"/>
                  <w:tcBorders>
                    <w:tl2br w:val="nil"/>
                    <w:tr2bl w:val="nil"/>
                  </w:tcBorders>
                  <w:noWrap/>
                  <w:vAlign w:val="center"/>
                </w:tcPr>
                <w:p>
                  <w:pPr>
                    <w:pStyle w:val="7"/>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保护</w:t>
                  </w:r>
                </w:p>
                <w:p>
                  <w:pPr>
                    <w:pStyle w:val="7"/>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对象</w:t>
                  </w:r>
                </w:p>
              </w:tc>
              <w:tc>
                <w:tcPr>
                  <w:tcW w:w="1309" w:type="dxa"/>
                  <w:tcBorders>
                    <w:tl2br w:val="nil"/>
                    <w:tr2bl w:val="nil"/>
                  </w:tcBorders>
                  <w:noWrap/>
                  <w:vAlign w:val="center"/>
                </w:tcPr>
                <w:p>
                  <w:pPr>
                    <w:pStyle w:val="7"/>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环境功能区</w:t>
                  </w:r>
                </w:p>
              </w:tc>
              <w:tc>
                <w:tcPr>
                  <w:tcW w:w="1035" w:type="dxa"/>
                  <w:tcBorders>
                    <w:tl2br w:val="nil"/>
                    <w:tr2bl w:val="nil"/>
                  </w:tcBorders>
                  <w:noWrap/>
                  <w:vAlign w:val="center"/>
                </w:tcPr>
                <w:p>
                  <w:pPr>
                    <w:pStyle w:val="7"/>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相对厂址方位</w:t>
                  </w:r>
                </w:p>
              </w:tc>
              <w:tc>
                <w:tcPr>
                  <w:tcW w:w="1375" w:type="dxa"/>
                  <w:tcBorders>
                    <w:tl2br w:val="nil"/>
                    <w:tr2bl w:val="nil"/>
                  </w:tcBorders>
                  <w:noWrap/>
                  <w:vAlign w:val="center"/>
                </w:tcPr>
                <w:p>
                  <w:pPr>
                    <w:pStyle w:val="7"/>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相对厂界距离（m）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4" w:type="dxa"/>
                  <w:vMerge w:val="restart"/>
                  <w:tcBorders>
                    <w:tl2br w:val="nil"/>
                    <w:tr2bl w:val="nil"/>
                  </w:tcBorders>
                  <w:noWrap/>
                  <w:vAlign w:val="center"/>
                </w:tcPr>
                <w:p>
                  <w:pPr>
                    <w:pStyle w:val="10"/>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大气环境</w:t>
                  </w:r>
                </w:p>
              </w:tc>
              <w:tc>
                <w:tcPr>
                  <w:tcW w:w="1540" w:type="dxa"/>
                  <w:tcBorders>
                    <w:tl2br w:val="nil"/>
                    <w:tr2bl w:val="nil"/>
                  </w:tcBorders>
                  <w:noWrap/>
                  <w:vAlign w:val="center"/>
                </w:tcPr>
                <w:p>
                  <w:pPr>
                    <w:pStyle w:val="10"/>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果岭湾</w:t>
                  </w:r>
                </w:p>
              </w:tc>
              <w:tc>
                <w:tcPr>
                  <w:tcW w:w="955" w:type="dxa"/>
                  <w:tcBorders>
                    <w:tl2br w:val="nil"/>
                    <w:tr2bl w:val="nil"/>
                  </w:tcBorders>
                  <w:noWrap/>
                  <w:vAlign w:val="center"/>
                </w:tcPr>
                <w:p>
                  <w:pPr>
                    <w:pStyle w:val="10"/>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居民</w:t>
                  </w:r>
                </w:p>
              </w:tc>
              <w:tc>
                <w:tcPr>
                  <w:tcW w:w="1309" w:type="dxa"/>
                  <w:tcBorders>
                    <w:tl2br w:val="nil"/>
                    <w:tr2bl w:val="nil"/>
                  </w:tcBorders>
                  <w:noWrap/>
                  <w:vAlign w:val="center"/>
                </w:tcPr>
                <w:p>
                  <w:pPr>
                    <w:pStyle w:val="10"/>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2类区</w:t>
                  </w:r>
                </w:p>
              </w:tc>
              <w:tc>
                <w:tcPr>
                  <w:tcW w:w="1035" w:type="dxa"/>
                  <w:tcBorders>
                    <w:tl2br w:val="nil"/>
                    <w:tr2bl w:val="nil"/>
                  </w:tcBorders>
                  <w:noWrap/>
                  <w:vAlign w:val="center"/>
                </w:tcPr>
                <w:p>
                  <w:pPr>
                    <w:pStyle w:val="10"/>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西侧</w:t>
                  </w:r>
                </w:p>
              </w:tc>
              <w:tc>
                <w:tcPr>
                  <w:tcW w:w="1375" w:type="dxa"/>
                  <w:tcBorders>
                    <w:tl2br w:val="nil"/>
                    <w:tr2bl w:val="nil"/>
                  </w:tcBorders>
                  <w:noWrap/>
                  <w:vAlign w:val="center"/>
                </w:tcPr>
                <w:p>
                  <w:pPr>
                    <w:pStyle w:val="10"/>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4" w:type="dxa"/>
                  <w:vMerge w:val="continue"/>
                  <w:tcBorders>
                    <w:tl2br w:val="nil"/>
                    <w:tr2bl w:val="nil"/>
                  </w:tcBorders>
                  <w:noWrap/>
                  <w:vAlign w:val="center"/>
                </w:tcPr>
                <w:p>
                  <w:pPr>
                    <w:pStyle w:val="10"/>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c>
                <w:tcPr>
                  <w:tcW w:w="1540" w:type="dxa"/>
                  <w:tcBorders>
                    <w:tl2br w:val="nil"/>
                    <w:tr2bl w:val="nil"/>
                  </w:tcBorders>
                  <w:noWrap/>
                  <w:vAlign w:val="center"/>
                </w:tcPr>
                <w:p>
                  <w:pPr>
                    <w:pStyle w:val="10"/>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白庙返迁房</w:t>
                  </w:r>
                </w:p>
              </w:tc>
              <w:tc>
                <w:tcPr>
                  <w:tcW w:w="955" w:type="dxa"/>
                  <w:tcBorders>
                    <w:tl2br w:val="nil"/>
                    <w:tr2bl w:val="nil"/>
                  </w:tcBorders>
                  <w:noWrap/>
                  <w:vAlign w:val="center"/>
                </w:tcPr>
                <w:p>
                  <w:pPr>
                    <w:pStyle w:val="10"/>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居民</w:t>
                  </w:r>
                </w:p>
              </w:tc>
              <w:tc>
                <w:tcPr>
                  <w:tcW w:w="1309" w:type="dxa"/>
                  <w:tcBorders>
                    <w:tl2br w:val="nil"/>
                    <w:tr2bl w:val="nil"/>
                  </w:tcBorders>
                  <w:noWrap/>
                  <w:vAlign w:val="center"/>
                </w:tcPr>
                <w:p>
                  <w:pPr>
                    <w:pStyle w:val="10"/>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2类区</w:t>
                  </w:r>
                </w:p>
              </w:tc>
              <w:tc>
                <w:tcPr>
                  <w:tcW w:w="1035" w:type="dxa"/>
                  <w:tcBorders>
                    <w:tl2br w:val="nil"/>
                    <w:tr2bl w:val="nil"/>
                  </w:tcBorders>
                  <w:noWrap/>
                  <w:vAlign w:val="center"/>
                </w:tcPr>
                <w:p>
                  <w:pPr>
                    <w:pStyle w:val="10"/>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东侧</w:t>
                  </w:r>
                </w:p>
              </w:tc>
              <w:tc>
                <w:tcPr>
                  <w:tcW w:w="1375" w:type="dxa"/>
                  <w:tcBorders>
                    <w:tl2br w:val="nil"/>
                    <w:tr2bl w:val="nil"/>
                  </w:tcBorders>
                  <w:noWrap/>
                  <w:vAlign w:val="center"/>
                </w:tcPr>
                <w:p>
                  <w:pPr>
                    <w:pStyle w:val="10"/>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220</w:t>
                  </w:r>
                </w:p>
              </w:tc>
            </w:tr>
          </w:tbl>
          <w:p>
            <w:pPr>
              <w:ind w:firstLine="480" w:firstLineChars="200"/>
              <w:rPr>
                <w:rFonts w:hint="default" w:ascii="Times New Roman" w:hAnsi="Times New Roman" w:cs="Times New Roman"/>
                <w:color w:val="auto"/>
                <w:highlight w:val="none"/>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207" w:hRule="atLeast"/>
          <w:jc w:val="center"/>
        </w:trPr>
        <w:tc>
          <w:tcPr>
            <w:tcW w:w="517" w:type="dxa"/>
            <w:tcMar>
              <w:left w:w="28" w:type="dxa"/>
              <w:right w:w="28" w:type="dxa"/>
            </w:tcMar>
            <w:vAlign w:val="center"/>
          </w:tcPr>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污染</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物排</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放控</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制标</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准</w:t>
            </w:r>
          </w:p>
        </w:tc>
        <w:tc>
          <w:tcPr>
            <w:tcW w:w="8554" w:type="dxa"/>
            <w:vAlign w:val="center"/>
          </w:tcPr>
          <w:p>
            <w:pPr>
              <w:pStyle w:val="7"/>
              <w:rPr>
                <w:rFonts w:hint="default"/>
                <w:color w:val="auto"/>
                <w:highlight w:val="none"/>
              </w:rPr>
            </w:pPr>
            <w:r>
              <w:rPr>
                <w:rFonts w:hint="default"/>
                <w:color w:val="auto"/>
                <w:highlight w:val="none"/>
              </w:rPr>
              <w:t>1 施工期</w:t>
            </w:r>
          </w:p>
          <w:p>
            <w:pPr>
              <w:rPr>
                <w:rFonts w:hint="default"/>
                <w:color w:val="auto"/>
                <w:highlight w:val="none"/>
              </w:rPr>
            </w:pPr>
            <w:r>
              <w:rPr>
                <w:rFonts w:hint="default"/>
                <w:color w:val="auto"/>
                <w:highlight w:val="none"/>
              </w:rPr>
              <w:t>1</w:t>
            </w:r>
            <w:r>
              <w:rPr>
                <w:rFonts w:hint="eastAsia"/>
                <w:color w:val="auto"/>
                <w:highlight w:val="none"/>
                <w:lang w:val="en-US" w:eastAsia="zh-CN"/>
              </w:rPr>
              <w:t>.1</w:t>
            </w:r>
            <w:r>
              <w:rPr>
                <w:rFonts w:hint="default"/>
                <w:color w:val="auto"/>
                <w:highlight w:val="none"/>
              </w:rPr>
              <w:t xml:space="preserve"> 噪声</w:t>
            </w:r>
          </w:p>
          <w:p>
            <w:pPr>
              <w:ind w:firstLine="480" w:firstLineChars="200"/>
              <w:jc w:val="both"/>
              <w:rPr>
                <w:rFonts w:hint="default"/>
                <w:color w:val="auto"/>
                <w:highlight w:val="none"/>
              </w:rPr>
            </w:pPr>
            <w:r>
              <w:rPr>
                <w:rFonts w:hint="default"/>
                <w:color w:val="auto"/>
                <w:highlight w:val="none"/>
              </w:rPr>
              <w:t>项目施工期噪声执行《建筑施工场界噪声限值》(GB12523－2011)昼间≤70dB(A)，项目夜间不施工。</w:t>
            </w:r>
          </w:p>
          <w:p>
            <w:pPr>
              <w:pStyle w:val="7"/>
              <w:rPr>
                <w:rFonts w:hint="default"/>
                <w:color w:val="auto"/>
                <w:highlight w:val="none"/>
              </w:rPr>
            </w:pPr>
            <w:r>
              <w:rPr>
                <w:rFonts w:hint="default"/>
                <w:color w:val="auto"/>
                <w:highlight w:val="none"/>
              </w:rPr>
              <w:t>2 运营期</w:t>
            </w:r>
          </w:p>
          <w:p>
            <w:pPr>
              <w:rPr>
                <w:rFonts w:hint="default"/>
                <w:color w:val="auto"/>
                <w:highlight w:val="none"/>
              </w:rPr>
            </w:pPr>
            <w:r>
              <w:rPr>
                <w:rFonts w:hint="eastAsia"/>
                <w:color w:val="auto"/>
                <w:highlight w:val="none"/>
                <w:lang w:val="en-US" w:eastAsia="zh-CN"/>
              </w:rPr>
              <w:t xml:space="preserve">2.1 </w:t>
            </w:r>
            <w:r>
              <w:rPr>
                <w:rFonts w:hint="default"/>
                <w:color w:val="auto"/>
                <w:highlight w:val="none"/>
              </w:rPr>
              <w:t xml:space="preserve"> 噪声</w:t>
            </w:r>
          </w:p>
          <w:p>
            <w:pPr>
              <w:ind w:firstLine="480" w:firstLineChars="200"/>
              <w:jc w:val="both"/>
              <w:rPr>
                <w:rFonts w:hint="default"/>
                <w:color w:val="auto"/>
                <w:highlight w:val="none"/>
              </w:rPr>
            </w:pPr>
            <w:r>
              <w:rPr>
                <w:rFonts w:hint="default"/>
                <w:color w:val="auto"/>
                <w:highlight w:val="none"/>
              </w:rPr>
              <w:t>机加工设备噪声排放执行《工业企业厂界环境噪声排放标准》(GB12348—2008)中的</w:t>
            </w:r>
            <w:r>
              <w:rPr>
                <w:rFonts w:hint="eastAsia"/>
                <w:color w:val="auto"/>
                <w:highlight w:val="none"/>
                <w:lang w:val="en-US" w:eastAsia="zh-CN"/>
              </w:rPr>
              <w:t>2</w:t>
            </w:r>
            <w:r>
              <w:rPr>
                <w:rFonts w:hint="default"/>
                <w:color w:val="auto"/>
                <w:highlight w:val="none"/>
              </w:rPr>
              <w:t>类标准，昼间≤</w:t>
            </w:r>
            <w:r>
              <w:rPr>
                <w:rFonts w:hint="eastAsia"/>
                <w:color w:val="auto"/>
                <w:highlight w:val="none"/>
                <w:lang w:val="en-US" w:eastAsia="zh-CN"/>
              </w:rPr>
              <w:t>60</w:t>
            </w:r>
            <w:r>
              <w:rPr>
                <w:rFonts w:hint="default"/>
                <w:color w:val="auto"/>
                <w:highlight w:val="none"/>
              </w:rPr>
              <w:t>dB(A)、夜间</w:t>
            </w:r>
            <w:r>
              <w:rPr>
                <w:rFonts w:hint="eastAsia"/>
                <w:color w:val="auto"/>
                <w:highlight w:val="none"/>
                <w:lang w:val="en-US" w:eastAsia="zh-CN"/>
              </w:rPr>
              <w:t>不生产</w:t>
            </w:r>
            <w:r>
              <w:rPr>
                <w:rFonts w:hint="default"/>
                <w:color w:val="auto"/>
                <w:highlight w:val="none"/>
              </w:rPr>
              <w:t>。</w:t>
            </w:r>
          </w:p>
          <w:p>
            <w:pPr>
              <w:rPr>
                <w:rFonts w:hint="default"/>
                <w:color w:val="auto"/>
                <w:highlight w:val="none"/>
              </w:rPr>
            </w:pPr>
            <w:r>
              <w:rPr>
                <w:rFonts w:hint="default"/>
                <w:color w:val="auto"/>
                <w:highlight w:val="none"/>
              </w:rPr>
              <w:t>2.</w:t>
            </w:r>
            <w:r>
              <w:rPr>
                <w:rFonts w:hint="eastAsia"/>
                <w:color w:val="auto"/>
                <w:highlight w:val="none"/>
                <w:lang w:val="en-US" w:eastAsia="zh-CN"/>
              </w:rPr>
              <w:t>2</w:t>
            </w:r>
            <w:r>
              <w:rPr>
                <w:rFonts w:hint="default"/>
                <w:color w:val="auto"/>
                <w:highlight w:val="none"/>
              </w:rPr>
              <w:t xml:space="preserve"> 固体废物</w:t>
            </w:r>
          </w:p>
          <w:p>
            <w:pPr>
              <w:ind w:firstLine="480" w:firstLineChars="200"/>
              <w:jc w:val="both"/>
              <w:rPr>
                <w:rFonts w:hint="default" w:ascii="Times New Roman" w:hAnsi="Times New Roman" w:cs="Times New Roman"/>
                <w:color w:val="auto"/>
                <w:highlight w:val="none"/>
              </w:rPr>
            </w:pPr>
            <w:r>
              <w:rPr>
                <w:rFonts w:hint="default" w:ascii="Times New Roman" w:hAnsi="Times New Roman" w:eastAsia="宋体" w:cs="Times New Roman"/>
                <w:color w:val="auto"/>
                <w:highlight w:val="none"/>
                <w:lang w:val="en-US" w:eastAsia="zh-CN"/>
              </w:rPr>
              <w:t>一般工业固体废物处置执行《一般工业固体废物贮存和填埋污染控制标准》（GB18599-2020）中的相关规定（防渗漏、防扬散、防雨淋）；危险废物执行《危险废物贮存污染控制标准》（GB18597-20</w:t>
            </w:r>
            <w:r>
              <w:rPr>
                <w:rFonts w:hint="eastAsia" w:cs="Times New Roman"/>
                <w:color w:val="auto"/>
                <w:highlight w:val="none"/>
                <w:lang w:val="en-US" w:eastAsia="zh-CN"/>
              </w:rPr>
              <w:t>23</w:t>
            </w:r>
            <w:r>
              <w:rPr>
                <w:rFonts w:hint="default" w:ascii="Times New Roman" w:hAnsi="Times New Roman" w:eastAsia="宋体" w:cs="Times New Roman"/>
                <w:color w:val="auto"/>
                <w:highlight w:val="none"/>
                <w:lang w:val="en-US" w:eastAsia="zh-CN"/>
              </w:rPr>
              <w:t>）</w:t>
            </w:r>
            <w:r>
              <w:rPr>
                <w:rFonts w:hint="eastAsia" w:cs="Times New Roman"/>
                <w:color w:val="auto"/>
                <w:highlight w:val="none"/>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17" w:type="dxa"/>
            <w:vAlign w:val="center"/>
          </w:tcPr>
          <w:p>
            <w:pPr>
              <w:pStyle w:val="6"/>
              <w:pageBreakBefore w:val="0"/>
              <w:kinsoku/>
              <w:wordWrap/>
              <w:topLinePunct w:val="0"/>
              <w:autoSpaceDE/>
              <w:autoSpaceDN/>
              <w:bidi w:val="0"/>
              <w:spacing w:line="360" w:lineRule="auto"/>
              <w:ind w:left="0" w:leftChars="0" w:right="0"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总量</w:t>
            </w:r>
          </w:p>
          <w:p>
            <w:pPr>
              <w:pStyle w:val="6"/>
              <w:pageBreakBefore w:val="0"/>
              <w:kinsoku/>
              <w:wordWrap/>
              <w:topLinePunct w:val="0"/>
              <w:autoSpaceDE/>
              <w:autoSpaceDN/>
              <w:bidi w:val="0"/>
              <w:spacing w:line="360" w:lineRule="auto"/>
              <w:ind w:left="0" w:leftChars="0" w:right="0"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控制</w:t>
            </w:r>
          </w:p>
          <w:p>
            <w:pPr>
              <w:pStyle w:val="6"/>
              <w:pageBreakBefore w:val="0"/>
              <w:kinsoku/>
              <w:wordWrap/>
              <w:topLinePunct w:val="0"/>
              <w:autoSpaceDE/>
              <w:autoSpaceDN/>
              <w:bidi w:val="0"/>
              <w:spacing w:line="360" w:lineRule="auto"/>
              <w:ind w:left="0" w:leftChars="0" w:right="0"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指标</w:t>
            </w:r>
          </w:p>
        </w:tc>
        <w:tc>
          <w:tcPr>
            <w:tcW w:w="8554" w:type="dxa"/>
            <w:vAlign w:val="center"/>
          </w:tcPr>
          <w:p>
            <w:pPr>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现</w:t>
            </w:r>
            <w:r>
              <w:rPr>
                <w:rFonts w:hint="eastAsia" w:ascii="Times New Roman" w:hAnsi="Times New Roman" w:eastAsia="宋体" w:cs="Times New Roman"/>
                <w:color w:val="auto"/>
                <w:highlight w:val="none"/>
                <w:lang w:val="en-US" w:eastAsia="zh-CN"/>
              </w:rPr>
              <w:t>有工程总量控制指标：</w:t>
            </w:r>
            <w:r>
              <w:rPr>
                <w:rFonts w:hint="eastAsia" w:ascii="Times New Roman" w:hAnsi="Times New Roman" w:eastAsia="宋体" w:cs="Times New Roman"/>
                <w:color w:val="auto"/>
                <w:highlight w:val="none"/>
              </w:rPr>
              <w:t>COD：</w:t>
            </w:r>
            <w:r>
              <w:rPr>
                <w:rFonts w:hint="eastAsia" w:ascii="Times New Roman" w:hAnsi="Times New Roman" w:eastAsia="宋体" w:cs="Times New Roman"/>
                <w:color w:val="auto"/>
                <w:highlight w:val="none"/>
                <w:lang w:val="en-US" w:eastAsia="zh-CN"/>
              </w:rPr>
              <w:t>0.048</w:t>
            </w:r>
            <w:r>
              <w:rPr>
                <w:rFonts w:hint="eastAsia" w:ascii="Times New Roman" w:hAnsi="Times New Roman" w:eastAsia="宋体" w:cs="Times New Roman"/>
                <w:color w:val="auto"/>
                <w:highlight w:val="none"/>
              </w:rPr>
              <w:t>t/a、氨氮：0</w:t>
            </w:r>
            <w:r>
              <w:rPr>
                <w:rFonts w:hint="eastAsia" w:ascii="Times New Roman" w:hAnsi="Times New Roman" w:eastAsia="宋体" w:cs="Times New Roman"/>
                <w:color w:val="auto"/>
                <w:highlight w:val="none"/>
                <w:lang w:val="en-US" w:eastAsia="zh-CN"/>
              </w:rPr>
              <w:t>.003</w:t>
            </w:r>
            <w:r>
              <w:rPr>
                <w:rFonts w:hint="eastAsia" w:ascii="Times New Roman" w:hAnsi="Times New Roman" w:eastAsia="宋体" w:cs="Times New Roman"/>
                <w:color w:val="auto"/>
                <w:highlight w:val="none"/>
              </w:rPr>
              <w:t>t/a</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SO</w:t>
            </w:r>
            <w:r>
              <w:rPr>
                <w:rFonts w:hint="eastAsia" w:ascii="Times New Roman" w:hAnsi="Times New Roman" w:eastAsia="宋体" w:cs="Times New Roman"/>
                <w:color w:val="auto"/>
                <w:highlight w:val="none"/>
                <w:vertAlign w:val="subscript"/>
                <w:lang w:val="en-US" w:eastAsia="zh-CN"/>
              </w:rPr>
              <w:t>2</w:t>
            </w:r>
            <w:r>
              <w:rPr>
                <w:rFonts w:hint="eastAsia"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0</w:t>
            </w:r>
            <w:r>
              <w:rPr>
                <w:rFonts w:hint="eastAsia" w:ascii="Times New Roman" w:hAnsi="Times New Roman" w:eastAsia="宋体" w:cs="Times New Roman"/>
                <w:color w:val="auto"/>
                <w:highlight w:val="none"/>
              </w:rPr>
              <w:t>t/a</w:t>
            </w:r>
            <w:r>
              <w:rPr>
                <w:rFonts w:hint="eastAsia" w:ascii="Times New Roman" w:hAnsi="Times New Roman" w:eastAsia="宋体" w:cs="Times New Roman"/>
                <w:color w:val="auto"/>
                <w:highlight w:val="none"/>
                <w:lang w:val="en-US" w:eastAsia="zh-CN"/>
              </w:rPr>
              <w:t>、NOx</w:t>
            </w:r>
            <w:r>
              <w:rPr>
                <w:rFonts w:hint="eastAsia"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0</w:t>
            </w:r>
            <w:r>
              <w:rPr>
                <w:rFonts w:hint="eastAsia" w:ascii="Times New Roman" w:hAnsi="Times New Roman" w:eastAsia="宋体" w:cs="Times New Roman"/>
                <w:color w:val="auto"/>
                <w:highlight w:val="none"/>
              </w:rPr>
              <w:t>t/a</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挥发性有机物：0.0525t/a、颗粒物0.072t/a。</w:t>
            </w:r>
          </w:p>
          <w:p>
            <w:pP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本项目总量控制指标：</w:t>
            </w:r>
            <w:r>
              <w:rPr>
                <w:rFonts w:hint="eastAsia" w:ascii="Times New Roman" w:hAnsi="Times New Roman" w:eastAsia="宋体" w:cs="Times New Roman"/>
                <w:color w:val="auto"/>
                <w:highlight w:val="none"/>
              </w:rPr>
              <w:t>COD：</w:t>
            </w:r>
            <w:r>
              <w:rPr>
                <w:rFonts w:hint="eastAsia" w:ascii="Times New Roman" w:hAnsi="Times New Roman" w:eastAsia="宋体" w:cs="Times New Roman"/>
                <w:color w:val="auto"/>
                <w:highlight w:val="none"/>
                <w:lang w:val="en-US" w:eastAsia="zh-CN"/>
              </w:rPr>
              <w:t>0</w:t>
            </w:r>
            <w:r>
              <w:rPr>
                <w:rFonts w:hint="eastAsia" w:ascii="Times New Roman" w:hAnsi="Times New Roman" w:eastAsia="宋体" w:cs="Times New Roman"/>
                <w:color w:val="auto"/>
                <w:highlight w:val="none"/>
              </w:rPr>
              <w:t>t/a、氨氮：</w:t>
            </w:r>
            <w:r>
              <w:rPr>
                <w:rFonts w:hint="eastAsia" w:ascii="Times New Roman" w:hAnsi="Times New Roman" w:eastAsia="宋体" w:cs="Times New Roman"/>
                <w:color w:val="auto"/>
                <w:highlight w:val="none"/>
                <w:lang w:val="en-US" w:eastAsia="zh-CN"/>
              </w:rPr>
              <w:t>0</w:t>
            </w:r>
            <w:r>
              <w:rPr>
                <w:rFonts w:hint="eastAsia" w:ascii="Times New Roman" w:hAnsi="Times New Roman" w:eastAsia="宋体" w:cs="Times New Roman"/>
                <w:color w:val="auto"/>
                <w:highlight w:val="none"/>
              </w:rPr>
              <w:t>t/a</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SO</w:t>
            </w:r>
            <w:r>
              <w:rPr>
                <w:rFonts w:hint="eastAsia" w:ascii="Times New Roman" w:hAnsi="Times New Roman" w:eastAsia="宋体" w:cs="Times New Roman"/>
                <w:color w:val="auto"/>
                <w:highlight w:val="none"/>
                <w:vertAlign w:val="subscript"/>
                <w:lang w:val="en-US" w:eastAsia="zh-CN"/>
              </w:rPr>
              <w:t>2</w:t>
            </w:r>
            <w:r>
              <w:rPr>
                <w:rFonts w:hint="eastAsia"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0</w:t>
            </w:r>
            <w:r>
              <w:rPr>
                <w:rFonts w:hint="eastAsia" w:ascii="Times New Roman" w:hAnsi="Times New Roman" w:eastAsia="宋体" w:cs="Times New Roman"/>
                <w:color w:val="auto"/>
                <w:highlight w:val="none"/>
              </w:rPr>
              <w:t>t/a</w:t>
            </w:r>
            <w:r>
              <w:rPr>
                <w:rFonts w:hint="eastAsia" w:ascii="Times New Roman" w:hAnsi="Times New Roman" w:eastAsia="宋体" w:cs="Times New Roman"/>
                <w:color w:val="auto"/>
                <w:highlight w:val="none"/>
                <w:lang w:val="en-US" w:eastAsia="zh-CN"/>
              </w:rPr>
              <w:t>、NOx</w:t>
            </w:r>
            <w:r>
              <w:rPr>
                <w:rFonts w:hint="eastAsia"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0</w:t>
            </w:r>
            <w:r>
              <w:rPr>
                <w:rFonts w:hint="eastAsia" w:ascii="Times New Roman" w:hAnsi="Times New Roman" w:eastAsia="宋体" w:cs="Times New Roman"/>
                <w:color w:val="auto"/>
                <w:highlight w:val="none"/>
              </w:rPr>
              <w:t>t/a</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挥发性有机物：0t/a、颗粒物0t/a。</w:t>
            </w:r>
          </w:p>
          <w:p>
            <w:pP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全厂总量控制指标：</w:t>
            </w:r>
            <w:r>
              <w:rPr>
                <w:rFonts w:hint="eastAsia" w:ascii="Times New Roman" w:hAnsi="Times New Roman" w:eastAsia="宋体" w:cs="Times New Roman"/>
                <w:color w:val="auto"/>
                <w:highlight w:val="none"/>
              </w:rPr>
              <w:t>COD：</w:t>
            </w:r>
            <w:r>
              <w:rPr>
                <w:rFonts w:hint="eastAsia" w:ascii="Times New Roman" w:hAnsi="Times New Roman" w:eastAsia="宋体" w:cs="Times New Roman"/>
                <w:color w:val="auto"/>
                <w:highlight w:val="none"/>
                <w:lang w:val="en-US" w:eastAsia="zh-CN"/>
              </w:rPr>
              <w:t>0.048</w:t>
            </w:r>
            <w:r>
              <w:rPr>
                <w:rFonts w:hint="eastAsia" w:ascii="Times New Roman" w:hAnsi="Times New Roman" w:eastAsia="宋体" w:cs="Times New Roman"/>
                <w:color w:val="auto"/>
                <w:highlight w:val="none"/>
              </w:rPr>
              <w:t>t/a、氨氮：0</w:t>
            </w:r>
            <w:r>
              <w:rPr>
                <w:rFonts w:hint="eastAsia" w:ascii="Times New Roman" w:hAnsi="Times New Roman" w:eastAsia="宋体" w:cs="Times New Roman"/>
                <w:color w:val="auto"/>
                <w:highlight w:val="none"/>
                <w:lang w:val="en-US" w:eastAsia="zh-CN"/>
              </w:rPr>
              <w:t>.003</w:t>
            </w:r>
            <w:r>
              <w:rPr>
                <w:rFonts w:hint="eastAsia" w:ascii="Times New Roman" w:hAnsi="Times New Roman" w:eastAsia="宋体" w:cs="Times New Roman"/>
                <w:color w:val="auto"/>
                <w:highlight w:val="none"/>
              </w:rPr>
              <w:t>t/a</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SO</w:t>
            </w:r>
            <w:r>
              <w:rPr>
                <w:rFonts w:hint="eastAsia" w:ascii="Times New Roman" w:hAnsi="Times New Roman" w:eastAsia="宋体" w:cs="Times New Roman"/>
                <w:color w:val="auto"/>
                <w:highlight w:val="none"/>
                <w:vertAlign w:val="subscript"/>
                <w:lang w:val="en-US" w:eastAsia="zh-CN"/>
              </w:rPr>
              <w:t>2</w:t>
            </w:r>
            <w:r>
              <w:rPr>
                <w:rFonts w:hint="eastAsia"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0</w:t>
            </w:r>
            <w:r>
              <w:rPr>
                <w:rFonts w:hint="eastAsia" w:ascii="Times New Roman" w:hAnsi="Times New Roman" w:eastAsia="宋体" w:cs="Times New Roman"/>
                <w:color w:val="auto"/>
                <w:highlight w:val="none"/>
              </w:rPr>
              <w:t>t/a</w:t>
            </w:r>
            <w:r>
              <w:rPr>
                <w:rFonts w:hint="eastAsia" w:ascii="Times New Roman" w:hAnsi="Times New Roman" w:eastAsia="宋体" w:cs="Times New Roman"/>
                <w:color w:val="auto"/>
                <w:highlight w:val="none"/>
                <w:lang w:val="en-US" w:eastAsia="zh-CN"/>
              </w:rPr>
              <w:t>、NOx</w:t>
            </w:r>
            <w:r>
              <w:rPr>
                <w:rFonts w:hint="eastAsia"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0</w:t>
            </w:r>
            <w:r>
              <w:rPr>
                <w:rFonts w:hint="eastAsia" w:ascii="Times New Roman" w:hAnsi="Times New Roman" w:eastAsia="宋体" w:cs="Times New Roman"/>
                <w:color w:val="auto"/>
                <w:highlight w:val="none"/>
              </w:rPr>
              <w:t>t/a</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挥发性有机物：0.0525t/a、颗粒物0.072t/a。</w:t>
            </w:r>
          </w:p>
        </w:tc>
      </w:tr>
    </w:tbl>
    <w:p>
      <w:pPr>
        <w:pStyle w:val="5"/>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sz w:val="36"/>
          <w:szCs w:val="36"/>
          <w:highlight w:val="none"/>
        </w:rPr>
        <w:br w:type="page"/>
      </w:r>
      <w:r>
        <w:rPr>
          <w:rFonts w:hint="default" w:ascii="Times New Roman" w:hAnsi="Times New Roman" w:cs="Times New Roman"/>
          <w:snapToGrid w:val="0"/>
          <w:color w:val="auto"/>
          <w:highlight w:val="none"/>
        </w:rPr>
        <w:t>四、主要环境影响和保护措施</w:t>
      </w:r>
    </w:p>
    <w:tbl>
      <w:tblPr>
        <w:tblStyle w:val="31"/>
        <w:tblW w:w="907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93"/>
        <w:gridCol w:w="857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059" w:hRule="atLeast"/>
          <w:jc w:val="center"/>
        </w:trPr>
        <w:tc>
          <w:tcPr>
            <w:tcW w:w="493" w:type="dxa"/>
            <w:tcMar>
              <w:left w:w="28" w:type="dxa"/>
              <w:right w:w="28" w:type="dxa"/>
            </w:tcMar>
            <w:vAlign w:val="center"/>
          </w:tcPr>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施工</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期环</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境保</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护措</w:t>
            </w:r>
          </w:p>
          <w:p>
            <w:pPr>
              <w:pStyle w:val="6"/>
              <w:rPr>
                <w:rFonts w:hint="default" w:ascii="Times New Roman" w:hAnsi="Times New Roman" w:cs="Times New Roman"/>
                <w:color w:val="auto"/>
                <w:highlight w:val="none"/>
              </w:rPr>
            </w:pPr>
            <w:r>
              <w:rPr>
                <w:rFonts w:hint="default" w:ascii="Times New Roman" w:hAnsi="Times New Roman" w:cs="Times New Roman"/>
                <w:color w:val="auto"/>
                <w:highlight w:val="none"/>
              </w:rPr>
              <w:t>施</w:t>
            </w:r>
          </w:p>
        </w:tc>
        <w:tc>
          <w:tcPr>
            <w:tcW w:w="8578" w:type="dxa"/>
            <w:vAlign w:val="center"/>
          </w:tcPr>
          <w:p>
            <w:pPr>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项目</w:t>
            </w:r>
            <w:r>
              <w:rPr>
                <w:rFonts w:hint="eastAsia" w:cs="Times New Roman"/>
                <w:color w:val="auto"/>
                <w:highlight w:val="none"/>
                <w:lang w:val="en-US" w:eastAsia="zh-CN"/>
              </w:rPr>
              <w:t>利用现有厂房场地，生产厂房内放置现有工程的设备设施，由于地面已硬化</w:t>
            </w:r>
            <w:r>
              <w:rPr>
                <w:rFonts w:hint="default" w:ascii="Times New Roman" w:hAnsi="Times New Roman" w:cs="Times New Roman"/>
                <w:color w:val="auto"/>
                <w:highlight w:val="none"/>
              </w:rPr>
              <w:t>，无土建施工，仅进行</w:t>
            </w:r>
            <w:r>
              <w:rPr>
                <w:rFonts w:hint="eastAsia" w:cs="Times New Roman"/>
                <w:color w:val="auto"/>
                <w:highlight w:val="none"/>
                <w:lang w:val="en-US" w:eastAsia="zh-CN"/>
              </w:rPr>
              <w:t>厂房内的规划，</w:t>
            </w:r>
            <w:r>
              <w:rPr>
                <w:rFonts w:hint="default" w:ascii="Times New Roman" w:hAnsi="Times New Roman" w:cs="Times New Roman"/>
                <w:color w:val="auto"/>
                <w:highlight w:val="none"/>
              </w:rPr>
              <w:t>简单的设备</w:t>
            </w:r>
            <w:r>
              <w:rPr>
                <w:rFonts w:hint="eastAsia" w:cs="Times New Roman"/>
                <w:color w:val="auto"/>
                <w:highlight w:val="none"/>
                <w:lang w:val="en-US" w:eastAsia="zh-CN"/>
              </w:rPr>
              <w:t>搬运、</w:t>
            </w:r>
            <w:r>
              <w:rPr>
                <w:rFonts w:hint="default" w:ascii="Times New Roman" w:hAnsi="Times New Roman" w:cs="Times New Roman"/>
                <w:color w:val="auto"/>
                <w:highlight w:val="none"/>
              </w:rPr>
              <w:t>安装</w:t>
            </w:r>
            <w:r>
              <w:rPr>
                <w:rFonts w:hint="eastAsia" w:cs="Times New Roman"/>
                <w:color w:val="auto"/>
                <w:highlight w:val="none"/>
                <w:lang w:eastAsia="zh-CN"/>
              </w:rPr>
              <w:t>（</w:t>
            </w:r>
            <w:r>
              <w:rPr>
                <w:rFonts w:hint="eastAsia" w:cs="Times New Roman"/>
                <w:color w:val="auto"/>
                <w:highlight w:val="none"/>
                <w:lang w:val="en-US" w:eastAsia="zh-CN"/>
              </w:rPr>
              <w:t>包括现有设备、设施的移动</w:t>
            </w:r>
            <w:r>
              <w:rPr>
                <w:rFonts w:hint="eastAsia" w:cs="Times New Roman"/>
                <w:color w:val="auto"/>
                <w:highlight w:val="none"/>
                <w:lang w:eastAsia="zh-CN"/>
              </w:rPr>
              <w:t>）</w:t>
            </w:r>
            <w:r>
              <w:rPr>
                <w:rFonts w:hint="default" w:ascii="Times New Roman" w:hAnsi="Times New Roman" w:cs="Times New Roman"/>
                <w:color w:val="auto"/>
                <w:highlight w:val="none"/>
              </w:rPr>
              <w:t>，不会产生明显的扬尘，且设备在夜间不进行搬运、安装，因此不再进行施工期环境影响分析评价。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07" w:hRule="atLeast"/>
          <w:jc w:val="center"/>
        </w:trPr>
        <w:tc>
          <w:tcPr>
            <w:tcW w:w="493" w:type="dxa"/>
            <w:tcMar>
              <w:left w:w="28" w:type="dxa"/>
              <w:right w:w="28" w:type="dxa"/>
            </w:tcMar>
            <w:vAlign w:val="center"/>
          </w:tcPr>
          <w:p>
            <w:pPr>
              <w:pStyle w:val="6"/>
              <w:rPr>
                <w:rFonts w:hint="default"/>
                <w:color w:val="auto"/>
                <w:highlight w:val="none"/>
              </w:rPr>
            </w:pPr>
          </w:p>
          <w:p>
            <w:pPr>
              <w:pStyle w:val="6"/>
              <w:rPr>
                <w:rFonts w:hint="default"/>
                <w:color w:val="auto"/>
                <w:highlight w:val="none"/>
              </w:rPr>
            </w:pPr>
          </w:p>
          <w:p>
            <w:pPr>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5"/>
              <w:rPr>
                <w:rFonts w:hint="default"/>
                <w:color w:val="auto"/>
                <w:highlight w:val="none"/>
              </w:rPr>
            </w:pPr>
          </w:p>
          <w:p>
            <w:pPr>
              <w:rPr>
                <w:rFonts w:hint="default"/>
                <w:color w:val="auto"/>
                <w:highlight w:val="none"/>
              </w:rPr>
            </w:pPr>
          </w:p>
          <w:p>
            <w:pPr>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rPr>
                <w:rFonts w:hint="default"/>
                <w:color w:val="auto"/>
                <w:highlight w:val="none"/>
              </w:rPr>
            </w:pPr>
          </w:p>
          <w:p>
            <w:pPr>
              <w:pStyle w:val="5"/>
              <w:rPr>
                <w:rFonts w:hint="default"/>
                <w:color w:val="auto"/>
                <w:highlight w:val="none"/>
              </w:rPr>
            </w:pPr>
          </w:p>
          <w:p>
            <w:pPr>
              <w:rPr>
                <w:rFonts w:hint="default"/>
                <w:color w:val="auto"/>
                <w:highlight w:val="none"/>
              </w:rPr>
            </w:pPr>
          </w:p>
          <w:p>
            <w:pPr>
              <w:pStyle w:val="5"/>
              <w:rPr>
                <w:rFonts w:hint="default"/>
                <w:color w:val="auto"/>
                <w:highlight w:val="none"/>
              </w:rPr>
            </w:pPr>
          </w:p>
          <w:p>
            <w:pPr>
              <w:rPr>
                <w:rFonts w:hint="default"/>
                <w:color w:val="auto"/>
                <w:highlight w:val="none"/>
              </w:rPr>
            </w:pPr>
          </w:p>
          <w:p>
            <w:pPr>
              <w:pStyle w:val="5"/>
              <w:rPr>
                <w:rFonts w:hint="default"/>
                <w:color w:val="auto"/>
                <w:highlight w:val="none"/>
              </w:rPr>
            </w:pPr>
          </w:p>
          <w:p>
            <w:pPr>
              <w:rPr>
                <w:rFonts w:hint="default"/>
                <w:color w:val="auto"/>
                <w:highlight w:val="none"/>
              </w:rPr>
            </w:pPr>
          </w:p>
          <w:p>
            <w:pPr>
              <w:pStyle w:val="5"/>
              <w:rPr>
                <w:rFonts w:hint="default"/>
                <w:color w:val="auto"/>
                <w:highlight w:val="none"/>
              </w:rPr>
            </w:pPr>
          </w:p>
          <w:p>
            <w:pPr>
              <w:rPr>
                <w:rFonts w:hint="default"/>
                <w:color w:val="auto"/>
                <w:highlight w:val="none"/>
              </w:rPr>
            </w:pPr>
          </w:p>
          <w:p>
            <w:pPr>
              <w:pStyle w:val="5"/>
              <w:rPr>
                <w:rFonts w:hint="default"/>
                <w:color w:val="auto"/>
                <w:highlight w:val="none"/>
              </w:rPr>
            </w:pPr>
          </w:p>
          <w:p>
            <w:pPr>
              <w:rPr>
                <w:rFonts w:hint="default"/>
                <w:color w:val="auto"/>
                <w:highlight w:val="none"/>
              </w:rPr>
            </w:pPr>
          </w:p>
          <w:p>
            <w:pPr>
              <w:pStyle w:val="5"/>
              <w:rPr>
                <w:rFonts w:hint="default"/>
                <w:color w:val="auto"/>
                <w:highlight w:val="none"/>
              </w:rPr>
            </w:pPr>
          </w:p>
          <w:p>
            <w:pPr>
              <w:rPr>
                <w:rFonts w:hint="default"/>
                <w:color w:val="auto"/>
                <w:highlight w:val="none"/>
              </w:rPr>
            </w:pPr>
          </w:p>
          <w:p>
            <w:pPr>
              <w:pStyle w:val="5"/>
              <w:rPr>
                <w:rFonts w:hint="default"/>
                <w:color w:val="auto"/>
                <w:highlight w:val="none"/>
              </w:rPr>
            </w:pPr>
          </w:p>
          <w:p>
            <w:pPr>
              <w:rPr>
                <w:rFonts w:hint="default"/>
                <w:color w:val="auto"/>
                <w:highlight w:val="none"/>
              </w:rPr>
            </w:pPr>
          </w:p>
          <w:p>
            <w:pPr>
              <w:pStyle w:val="5"/>
              <w:rPr>
                <w:rFonts w:hint="default"/>
                <w:color w:val="auto"/>
                <w:highlight w:val="none"/>
              </w:rPr>
            </w:pPr>
          </w:p>
          <w:p>
            <w:pPr>
              <w:pStyle w:val="5"/>
              <w:jc w:val="both"/>
              <w:rPr>
                <w:rFonts w:hint="default"/>
                <w:color w:val="auto"/>
                <w:highlight w:val="none"/>
              </w:rPr>
            </w:pPr>
          </w:p>
          <w:p>
            <w:pPr>
              <w:pStyle w:val="6"/>
              <w:jc w:val="both"/>
              <w:rPr>
                <w:rFonts w:hint="default"/>
                <w:color w:val="auto"/>
                <w:highlight w:val="none"/>
              </w:rPr>
            </w:pPr>
          </w:p>
          <w:p>
            <w:pPr>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rPr>
                <w:rFonts w:hint="default"/>
                <w:color w:val="auto"/>
                <w:highlight w:val="none"/>
              </w:rPr>
            </w:pPr>
          </w:p>
          <w:p>
            <w:pPr>
              <w:pStyle w:val="5"/>
              <w:rPr>
                <w:rFonts w:hint="default"/>
                <w:color w:val="auto"/>
                <w:highlight w:val="none"/>
              </w:rPr>
            </w:pPr>
          </w:p>
          <w:p>
            <w:pPr>
              <w:rPr>
                <w:rFonts w:hint="default"/>
                <w:color w:val="auto"/>
                <w:highlight w:val="none"/>
              </w:rPr>
            </w:pPr>
          </w:p>
          <w:p>
            <w:pPr>
              <w:pStyle w:val="5"/>
              <w:rPr>
                <w:rFonts w:hint="default"/>
                <w:color w:val="auto"/>
                <w:highlight w:val="none"/>
              </w:rPr>
            </w:pPr>
          </w:p>
          <w:p>
            <w:pPr>
              <w:rPr>
                <w:rFonts w:hint="default"/>
                <w:color w:val="auto"/>
                <w:highlight w:val="none"/>
              </w:rPr>
            </w:pPr>
          </w:p>
          <w:p>
            <w:pPr>
              <w:pStyle w:val="5"/>
              <w:rPr>
                <w:rFonts w:hint="default"/>
                <w:color w:val="auto"/>
                <w:highlight w:val="none"/>
              </w:rPr>
            </w:pPr>
          </w:p>
          <w:p>
            <w:pPr>
              <w:rPr>
                <w:rFonts w:hint="default"/>
                <w:color w:val="auto"/>
                <w:highlight w:val="none"/>
              </w:rPr>
            </w:pPr>
          </w:p>
          <w:p>
            <w:pPr>
              <w:pStyle w:val="5"/>
              <w:rPr>
                <w:rFonts w:hint="default"/>
                <w:color w:val="auto"/>
                <w:highlight w:val="none"/>
              </w:rPr>
            </w:pPr>
          </w:p>
          <w:p>
            <w:pPr>
              <w:rPr>
                <w:rFonts w:hint="default"/>
                <w:color w:val="auto"/>
                <w:highlight w:val="none"/>
              </w:rPr>
            </w:pPr>
          </w:p>
          <w:p>
            <w:pPr>
              <w:pStyle w:val="5"/>
              <w:rPr>
                <w:rFonts w:hint="default"/>
                <w:color w:val="auto"/>
                <w:highlight w:val="none"/>
              </w:rPr>
            </w:pPr>
          </w:p>
          <w:p>
            <w:pPr>
              <w:rPr>
                <w:rFonts w:hint="default"/>
                <w:color w:val="auto"/>
                <w:highlight w:val="none"/>
              </w:rPr>
            </w:pPr>
          </w:p>
          <w:p>
            <w:pPr>
              <w:rPr>
                <w:rFonts w:hint="default"/>
                <w:color w:val="auto"/>
                <w:highlight w:val="none"/>
              </w:rPr>
            </w:pPr>
          </w:p>
          <w:p>
            <w:pPr>
              <w:pStyle w:val="5"/>
              <w:rPr>
                <w:rFonts w:hint="default"/>
                <w:color w:val="auto"/>
                <w:highlight w:val="none"/>
              </w:rPr>
            </w:pPr>
          </w:p>
          <w:p>
            <w:pPr>
              <w:rPr>
                <w:rFonts w:hint="default"/>
                <w:color w:val="auto"/>
                <w:highlight w:val="none"/>
              </w:rPr>
            </w:pPr>
          </w:p>
          <w:p>
            <w:pPr>
              <w:pStyle w:val="5"/>
              <w:rPr>
                <w:rFonts w:hint="default"/>
                <w:color w:val="auto"/>
                <w:highlight w:val="none"/>
              </w:rPr>
            </w:pPr>
          </w:p>
          <w:p>
            <w:pPr>
              <w:pStyle w:val="5"/>
              <w:rPr>
                <w:rFonts w:hint="default"/>
                <w:color w:val="auto"/>
                <w:highlight w:val="none"/>
              </w:rPr>
            </w:pPr>
          </w:p>
          <w:p>
            <w:pPr>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jc w:val="both"/>
              <w:rPr>
                <w:rFonts w:hint="default"/>
                <w:color w:val="auto"/>
                <w:highlight w:val="none"/>
              </w:rPr>
            </w:pPr>
          </w:p>
          <w:p>
            <w:pPr>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jc w:val="both"/>
              <w:rPr>
                <w:rFonts w:hint="default"/>
                <w:color w:val="auto"/>
                <w:highlight w:val="none"/>
              </w:rPr>
            </w:pPr>
          </w:p>
          <w:p>
            <w:pPr>
              <w:rPr>
                <w:rFonts w:hint="default"/>
                <w:color w:val="auto"/>
                <w:highlight w:val="none"/>
              </w:rPr>
            </w:pPr>
          </w:p>
          <w:p>
            <w:pPr>
              <w:pStyle w:val="30"/>
              <w:rPr>
                <w:rFonts w:hint="default"/>
                <w:color w:val="auto"/>
                <w:highlight w:val="none"/>
              </w:rPr>
            </w:pPr>
          </w:p>
          <w:p>
            <w:pPr>
              <w:pStyle w:val="29"/>
              <w:rPr>
                <w:rFonts w:hint="default"/>
                <w:color w:val="auto"/>
                <w:highlight w:val="none"/>
              </w:rPr>
            </w:pPr>
          </w:p>
          <w:p>
            <w:pPr>
              <w:pStyle w:val="8"/>
              <w:rPr>
                <w:rFonts w:hint="default"/>
                <w:color w:val="auto"/>
                <w:highlight w:val="none"/>
              </w:rPr>
            </w:pPr>
          </w:p>
          <w:p>
            <w:pPr>
              <w:rPr>
                <w:rFonts w:hint="default"/>
                <w:color w:val="auto"/>
                <w:highlight w:val="none"/>
              </w:rPr>
            </w:pPr>
          </w:p>
          <w:p>
            <w:pPr>
              <w:pStyle w:val="30"/>
              <w:rPr>
                <w:rFonts w:hint="default"/>
                <w:color w:val="auto"/>
                <w:highlight w:val="none"/>
              </w:rPr>
            </w:pPr>
          </w:p>
          <w:p>
            <w:pPr>
              <w:pStyle w:val="29"/>
              <w:rPr>
                <w:rFonts w:hint="default"/>
                <w:color w:val="auto"/>
                <w:highlight w:val="none"/>
              </w:rPr>
            </w:pPr>
          </w:p>
          <w:p>
            <w:pPr>
              <w:pStyle w:val="8"/>
              <w:rPr>
                <w:rFonts w:hint="default"/>
                <w:color w:val="auto"/>
                <w:highlight w:val="none"/>
              </w:rPr>
            </w:pPr>
          </w:p>
          <w:p>
            <w:pPr>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pStyle w:val="29"/>
              <w:ind w:firstLine="210"/>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pStyle w:val="29"/>
              <w:ind w:firstLine="210"/>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jc w:val="both"/>
              <w:rPr>
                <w:rFonts w:hint="default"/>
                <w:color w:val="auto"/>
                <w:highlight w:val="none"/>
              </w:rPr>
            </w:pPr>
          </w:p>
          <w:p>
            <w:pPr>
              <w:pStyle w:val="6"/>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jc w:val="both"/>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jc w:val="both"/>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jc w:val="both"/>
              <w:rPr>
                <w:rFonts w:hint="default"/>
                <w:color w:val="auto"/>
                <w:highlight w:val="none"/>
              </w:rPr>
            </w:pPr>
          </w:p>
          <w:p>
            <w:pPr>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color w:val="auto"/>
                <w:highlight w:val="none"/>
              </w:rPr>
            </w:pPr>
            <w:r>
              <w:rPr>
                <w:rFonts w:hint="default"/>
                <w:color w:val="auto"/>
                <w:highlight w:val="none"/>
              </w:rPr>
              <w:t>保护</w:t>
            </w:r>
          </w:p>
          <w:p>
            <w:pPr>
              <w:pStyle w:val="6"/>
              <w:rPr>
                <w:rFonts w:hint="default"/>
                <w:color w:val="auto"/>
                <w:highlight w:val="none"/>
              </w:rPr>
            </w:pPr>
            <w:r>
              <w:rPr>
                <w:rFonts w:hint="default"/>
                <w:color w:val="auto"/>
                <w:highlight w:val="none"/>
              </w:rPr>
              <w:t>措施</w:t>
            </w: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6"/>
              <w:rPr>
                <w:rFonts w:hint="default"/>
                <w:color w:val="auto"/>
                <w:highlight w:val="none"/>
              </w:rPr>
            </w:pPr>
          </w:p>
          <w:p>
            <w:pPr>
              <w:pStyle w:val="10"/>
              <w:rPr>
                <w:rFonts w:hint="default"/>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ascii="Times New Roman" w:hAnsi="Times New Roman" w:eastAsia="宋体" w:cs="Times New Roman"/>
                <w:color w:val="auto"/>
                <w:highlight w:val="none"/>
              </w:rPr>
            </w:pPr>
            <w:r>
              <w:rPr>
                <w:rFonts w:hint="default"/>
                <w:color w:val="auto"/>
                <w:highlight w:val="none"/>
              </w:rPr>
              <w:t>保</w:t>
            </w:r>
            <w:r>
              <w:rPr>
                <w:rFonts w:hint="default" w:ascii="Times New Roman" w:hAnsi="Times New Roman" w:eastAsia="宋体" w:cs="Times New Roman"/>
                <w:color w:val="auto"/>
                <w:highlight w:val="none"/>
              </w:rPr>
              <w:t>护</w:t>
            </w:r>
          </w:p>
          <w:p>
            <w:pPr>
              <w:pStyle w:val="6"/>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措施</w:t>
            </w: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rPr>
                <w:rFonts w:hint="default" w:ascii="Times New Roman" w:hAnsi="Times New Roman" w:eastAsia="宋体" w:cs="Times New Roman"/>
                <w:color w:val="auto"/>
                <w:highlight w:val="none"/>
              </w:rPr>
            </w:pPr>
          </w:p>
          <w:p>
            <w:pPr>
              <w:pStyle w:val="2"/>
              <w:rPr>
                <w:rFonts w:hint="default"/>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color w:val="auto"/>
                <w:highlight w:val="none"/>
              </w:rPr>
            </w:pPr>
            <w:r>
              <w:rPr>
                <w:rFonts w:hint="default"/>
                <w:color w:val="auto"/>
                <w:highlight w:val="none"/>
              </w:rPr>
              <w:t>运营</w:t>
            </w:r>
          </w:p>
          <w:p>
            <w:pPr>
              <w:pStyle w:val="6"/>
              <w:rPr>
                <w:rFonts w:hint="default"/>
                <w:color w:val="auto"/>
                <w:highlight w:val="none"/>
              </w:rPr>
            </w:pPr>
            <w:r>
              <w:rPr>
                <w:rFonts w:hint="default"/>
                <w:color w:val="auto"/>
                <w:highlight w:val="none"/>
              </w:rPr>
              <w:t>期环</w:t>
            </w:r>
          </w:p>
          <w:p>
            <w:pPr>
              <w:pStyle w:val="6"/>
              <w:rPr>
                <w:rFonts w:hint="default"/>
                <w:color w:val="auto"/>
                <w:highlight w:val="none"/>
              </w:rPr>
            </w:pPr>
            <w:r>
              <w:rPr>
                <w:rFonts w:hint="default"/>
                <w:color w:val="auto"/>
                <w:highlight w:val="none"/>
              </w:rPr>
              <w:t>境影</w:t>
            </w:r>
          </w:p>
          <w:p>
            <w:pPr>
              <w:pStyle w:val="6"/>
              <w:rPr>
                <w:rFonts w:hint="default"/>
                <w:color w:val="auto"/>
                <w:highlight w:val="none"/>
              </w:rPr>
            </w:pPr>
            <w:r>
              <w:rPr>
                <w:rFonts w:hint="default"/>
                <w:color w:val="auto"/>
                <w:highlight w:val="none"/>
              </w:rPr>
              <w:t>响和</w:t>
            </w:r>
          </w:p>
          <w:p>
            <w:pPr>
              <w:pStyle w:val="6"/>
              <w:rPr>
                <w:rFonts w:hint="default" w:ascii="Times New Roman" w:hAnsi="Times New Roman" w:eastAsia="宋体" w:cs="Times New Roman"/>
                <w:color w:val="auto"/>
                <w:highlight w:val="none"/>
              </w:rPr>
            </w:pPr>
            <w:r>
              <w:rPr>
                <w:rFonts w:hint="default"/>
                <w:color w:val="auto"/>
                <w:highlight w:val="none"/>
              </w:rPr>
              <w:t>保</w:t>
            </w:r>
            <w:r>
              <w:rPr>
                <w:rFonts w:hint="default" w:ascii="Times New Roman" w:hAnsi="Times New Roman" w:eastAsia="宋体" w:cs="Times New Roman"/>
                <w:color w:val="auto"/>
                <w:highlight w:val="none"/>
              </w:rPr>
              <w:t>护</w:t>
            </w:r>
          </w:p>
          <w:p>
            <w:pPr>
              <w:pStyle w:val="6"/>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措施</w:t>
            </w: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rPr>
                <w:rFonts w:hint="default" w:ascii="Times New Roman" w:hAnsi="Times New Roman" w:eastAsia="宋体" w:cs="Times New Roman"/>
                <w:color w:val="auto"/>
                <w:highlight w:val="none"/>
              </w:rPr>
            </w:pPr>
          </w:p>
          <w:p>
            <w:pPr>
              <w:pStyle w:val="6"/>
              <w:jc w:val="both"/>
              <w:rPr>
                <w:rFonts w:hint="default" w:ascii="Times New Roman" w:hAnsi="Times New Roman" w:eastAsia="宋体" w:cs="Times New Roman"/>
                <w:color w:val="auto"/>
                <w:highlight w:val="none"/>
              </w:rPr>
            </w:pPr>
          </w:p>
          <w:p>
            <w:pPr>
              <w:pStyle w:val="8"/>
              <w:rPr>
                <w:rFonts w:hint="default"/>
                <w:color w:val="auto"/>
                <w:highlight w:val="none"/>
              </w:rPr>
            </w:pPr>
          </w:p>
        </w:tc>
        <w:tc>
          <w:tcPr>
            <w:tcW w:w="8578" w:type="dxa"/>
            <w:vAlign w:val="center"/>
          </w:tcPr>
          <w:p>
            <w:pPr>
              <w:pStyle w:val="7"/>
              <w:rPr>
                <w:rFonts w:hint="default"/>
                <w:color w:val="auto"/>
                <w:highlight w:val="none"/>
              </w:rPr>
            </w:pPr>
            <w:r>
              <w:rPr>
                <w:rFonts w:hint="default"/>
                <w:color w:val="auto"/>
                <w:highlight w:val="none"/>
              </w:rPr>
              <w:t>1 大气环境影响分析</w:t>
            </w:r>
          </w:p>
          <w:p>
            <w:pPr>
              <w:spacing w:line="360" w:lineRule="auto"/>
              <w:ind w:left="0" w:leftChars="0" w:firstLine="480" w:firstLineChars="200"/>
              <w:rPr>
                <w:rFonts w:hint="default"/>
                <w:color w:val="auto"/>
                <w:highlight w:val="none"/>
                <w:lang w:val="en-US" w:eastAsia="zh-CN"/>
              </w:rPr>
            </w:pPr>
            <w:r>
              <w:rPr>
                <w:rFonts w:hint="eastAsia"/>
                <w:color w:val="auto"/>
                <w:highlight w:val="none"/>
                <w:lang w:val="en-US" w:eastAsia="zh-CN"/>
              </w:rPr>
              <w:t>本项目运营期间无大气污染物产生。</w:t>
            </w:r>
            <w:r>
              <w:rPr>
                <w:rFonts w:hint="eastAsia" w:ascii="Times New Roman" w:hAnsi="Times New Roman" w:cs="Times New Roman"/>
                <w:color w:val="auto"/>
                <w:highlight w:val="none"/>
                <w:lang w:val="en-US" w:eastAsia="zh-CN"/>
              </w:rPr>
              <w:t>企业卫生防护距离依旧沿用《秦皇岛开发区隆兴工贸有限公司新增耐火材料热砂芯项目环境影响报告表》（秦开环建表[2020]第05号）中的卫生防护距离——150m，企业</w:t>
            </w:r>
            <w:r>
              <w:rPr>
                <w:rFonts w:hint="default" w:ascii="Times New Roman" w:hAnsi="Times New Roman" w:cs="Times New Roman"/>
                <w:color w:val="auto"/>
                <w:highlight w:val="none"/>
              </w:rPr>
              <w:t>卫生防护距离内无学校、医院、村庄等环境敏感点，满足卫生防护距离要求。</w:t>
            </w:r>
          </w:p>
          <w:p>
            <w:pPr>
              <w:pStyle w:val="7"/>
              <w:rPr>
                <w:rFonts w:hint="default"/>
                <w:color w:val="auto"/>
                <w:highlight w:val="none"/>
              </w:rPr>
            </w:pPr>
            <w:r>
              <w:rPr>
                <w:rFonts w:hint="default"/>
                <w:color w:val="auto"/>
                <w:highlight w:val="none"/>
              </w:rPr>
              <w:t>2 水环境影响分析</w:t>
            </w:r>
          </w:p>
          <w:p>
            <w:pPr>
              <w:pStyle w:val="8"/>
              <w:rPr>
                <w:rFonts w:hint="default"/>
                <w:color w:val="auto"/>
                <w:highlight w:val="none"/>
              </w:rPr>
            </w:pPr>
            <w:r>
              <w:rPr>
                <w:rFonts w:hint="default"/>
                <w:color w:val="auto"/>
                <w:highlight w:val="none"/>
              </w:rPr>
              <w:t>2.1 生产水</w:t>
            </w:r>
          </w:p>
          <w:p>
            <w:pPr>
              <w:bidi w:val="0"/>
              <w:rPr>
                <w:rFonts w:hint="default"/>
                <w:color w:val="auto"/>
                <w:highlight w:val="none"/>
                <w:lang w:val="en-US" w:eastAsia="zh-CN"/>
              </w:rPr>
            </w:pPr>
            <w:r>
              <w:rPr>
                <w:rFonts w:hint="eastAsia" w:ascii="Times New Roman" w:hAnsi="Times New Roman" w:cs="Times New Roman"/>
                <w:color w:val="auto"/>
                <w:kern w:val="2"/>
                <w:sz w:val="24"/>
                <w:szCs w:val="24"/>
                <w:highlight w:val="none"/>
                <w:lang w:val="en-US" w:eastAsia="zh-CN" w:bidi="ar-SA"/>
              </w:rPr>
              <w:t>项目生产用水为切削液勾兑用水，切削液与水的勾兑比例为1:10，本项目年使用切削液0.57t，则用水量为5.7m³/a。项目乳化液循环使用，不外排。</w:t>
            </w:r>
          </w:p>
          <w:p>
            <w:pPr>
              <w:pStyle w:val="8"/>
              <w:rPr>
                <w:rFonts w:hint="default"/>
                <w:color w:val="auto"/>
                <w:highlight w:val="none"/>
              </w:rPr>
            </w:pPr>
            <w:r>
              <w:rPr>
                <w:rFonts w:hint="default"/>
                <w:color w:val="auto"/>
                <w:highlight w:val="none"/>
              </w:rPr>
              <w:t>2.2 生活水</w:t>
            </w:r>
          </w:p>
          <w:p>
            <w:pPr>
              <w:rPr>
                <w:rFonts w:hint="eastAsia"/>
                <w:color w:val="auto"/>
                <w:highlight w:val="none"/>
                <w:lang w:val="en-US" w:eastAsia="zh-CN"/>
              </w:rPr>
            </w:pPr>
            <w:r>
              <w:rPr>
                <w:color w:val="auto"/>
                <w:highlight w:val="none"/>
              </w:rPr>
              <w:t>本项目职工</w:t>
            </w:r>
            <w:r>
              <w:rPr>
                <w:rFonts w:hint="eastAsia"/>
                <w:color w:val="auto"/>
                <w:highlight w:val="none"/>
                <w:lang w:val="en-US" w:eastAsia="zh-CN"/>
              </w:rPr>
              <w:t>由现有员工调剂，工作制度变为两班制，无新增生活用水，无新增生活废水产生。</w:t>
            </w:r>
          </w:p>
          <w:p>
            <w:pPr>
              <w:pStyle w:val="7"/>
              <w:bidi w:val="0"/>
              <w:rPr>
                <w:rFonts w:hint="default"/>
                <w:color w:val="auto"/>
                <w:highlight w:val="none"/>
              </w:rPr>
            </w:pPr>
            <w:r>
              <w:rPr>
                <w:rFonts w:hint="default"/>
                <w:color w:val="auto"/>
                <w:highlight w:val="none"/>
              </w:rPr>
              <w:t>3</w:t>
            </w:r>
            <w:r>
              <w:rPr>
                <w:rFonts w:hint="default"/>
                <w:color w:val="auto"/>
                <w:highlight w:val="none"/>
                <w:lang w:val="en-US" w:eastAsia="zh-CN"/>
              </w:rPr>
              <w:t xml:space="preserve"> </w:t>
            </w:r>
            <w:r>
              <w:rPr>
                <w:rFonts w:hint="default"/>
                <w:color w:val="auto"/>
                <w:highlight w:val="none"/>
              </w:rPr>
              <w:t>声环境影响分析</w:t>
            </w:r>
          </w:p>
          <w:p>
            <w:pPr>
              <w:pStyle w:val="8"/>
              <w:spacing w:before="0" w:after="0" w:line="360" w:lineRule="auto"/>
              <w:ind w:firstLine="0" w:firstLineChars="0"/>
              <w:jc w:val="left"/>
              <w:rPr>
                <w:rFonts w:hint="eastAsia" w:ascii="Times New Roman" w:hAnsi="Times New Roman" w:eastAsia="宋体" w:cs="Times New Roman"/>
                <w:bCs w:val="0"/>
                <w:color w:val="auto"/>
                <w:kern w:val="2"/>
                <w:sz w:val="24"/>
                <w:szCs w:val="21"/>
                <w:highlight w:val="none"/>
                <w:lang w:val="en-US" w:eastAsia="zh-CN"/>
              </w:rPr>
            </w:pPr>
            <w:r>
              <w:rPr>
                <w:rFonts w:hint="default"/>
                <w:color w:val="auto"/>
                <w:highlight w:val="none"/>
                <w:lang w:val="en-US" w:eastAsia="zh-CN"/>
              </w:rPr>
              <w:t xml:space="preserve">3.1 </w:t>
            </w:r>
            <w:r>
              <w:rPr>
                <w:rFonts w:hint="eastAsia" w:ascii="Times New Roman" w:hAnsi="Times New Roman" w:eastAsia="宋体" w:cs="Times New Roman"/>
                <w:bCs w:val="0"/>
                <w:color w:val="auto"/>
                <w:kern w:val="2"/>
                <w:sz w:val="24"/>
                <w:szCs w:val="21"/>
                <w:highlight w:val="none"/>
                <w:lang w:val="en-US" w:eastAsia="zh-CN"/>
              </w:rPr>
              <w:t>预测模式</w:t>
            </w:r>
          </w:p>
          <w:p>
            <w:pPr>
              <w:ind w:firstLine="480"/>
              <w:rPr>
                <w:color w:val="auto"/>
                <w:highlight w:val="none"/>
              </w:rPr>
            </w:pPr>
            <w:r>
              <w:rPr>
                <w:color w:val="auto"/>
                <w:highlight w:val="none"/>
              </w:rPr>
              <w:t>（1）单个室外点声源在预测点产生的声级计算基本公式</w:t>
            </w:r>
          </w:p>
          <w:p>
            <w:pPr>
              <w:ind w:firstLine="480"/>
              <w:rPr>
                <w:color w:val="auto"/>
                <w:highlight w:val="none"/>
              </w:rPr>
            </w:pPr>
            <w:r>
              <w:rPr>
                <w:color w:val="auto"/>
                <w:highlight w:val="none"/>
              </w:rPr>
              <w:t>户外声传播衰减包括几何发散（A</w:t>
            </w:r>
            <w:r>
              <w:rPr>
                <w:color w:val="auto"/>
                <w:highlight w:val="none"/>
                <w:vertAlign w:val="subscript"/>
              </w:rPr>
              <w:t>div</w:t>
            </w:r>
            <w:r>
              <w:rPr>
                <w:color w:val="auto"/>
                <w:highlight w:val="none"/>
              </w:rPr>
              <w:t>）、大气吸收（A</w:t>
            </w:r>
            <w:r>
              <w:rPr>
                <w:color w:val="auto"/>
                <w:highlight w:val="none"/>
                <w:vertAlign w:val="subscript"/>
              </w:rPr>
              <w:t>atm</w:t>
            </w:r>
            <w:r>
              <w:rPr>
                <w:color w:val="auto"/>
                <w:highlight w:val="none"/>
              </w:rPr>
              <w:t>）、地面效应（A</w:t>
            </w:r>
            <w:r>
              <w:rPr>
                <w:color w:val="auto"/>
                <w:highlight w:val="none"/>
                <w:vertAlign w:val="subscript"/>
              </w:rPr>
              <w:t>gr</w:t>
            </w:r>
            <w:r>
              <w:rPr>
                <w:color w:val="auto"/>
                <w:highlight w:val="none"/>
              </w:rPr>
              <w:t>）、障碍物屏蔽（A</w:t>
            </w:r>
            <w:r>
              <w:rPr>
                <w:color w:val="auto"/>
                <w:highlight w:val="none"/>
                <w:vertAlign w:val="subscript"/>
              </w:rPr>
              <w:t>bar</w:t>
            </w:r>
            <w:r>
              <w:rPr>
                <w:color w:val="auto"/>
                <w:highlight w:val="none"/>
              </w:rPr>
              <w:t>）、其他多方面效应（A</w:t>
            </w:r>
            <w:r>
              <w:rPr>
                <w:color w:val="auto"/>
                <w:highlight w:val="none"/>
                <w:vertAlign w:val="subscript"/>
              </w:rPr>
              <w:t>misc</w:t>
            </w:r>
            <w:r>
              <w:rPr>
                <w:color w:val="auto"/>
                <w:highlight w:val="none"/>
              </w:rPr>
              <w:t xml:space="preserve">）引起的衰减。 </w:t>
            </w:r>
          </w:p>
          <w:p>
            <w:pPr>
              <w:ind w:firstLine="480"/>
              <w:rPr>
                <w:color w:val="auto"/>
                <w:highlight w:val="none"/>
              </w:rPr>
            </w:pPr>
            <w:r>
              <w:rPr>
                <w:color w:val="auto"/>
                <w:highlight w:val="none"/>
                <w:lang w:val="pt-BR"/>
              </w:rPr>
              <w:object>
                <v:shape id="_x0000_i1025" o:spt="75" type="#_x0000_t75" style="height:19pt;width:234.35pt;" o:ole="t" filled="f" o:preferrelative="t" stroked="f" coordsize="21600,21600">
                  <v:path/>
                  <v:fill on="f" focussize="0,0"/>
                  <v:stroke on="f" joinstyle="miter"/>
                  <v:imagedata r:id="rId17" o:title=""/>
                  <o:lock v:ext="edit" aspectratio="t"/>
                  <w10:wrap type="none"/>
                  <w10:anchorlock/>
                </v:shape>
                <o:OLEObject Type="Embed" ProgID="Equation.3" ShapeID="_x0000_i1025" DrawAspect="Content" ObjectID="_1468075725" r:id="rId16">
                  <o:LockedField>false</o:LockedField>
                </o:OLEObject>
              </w:object>
            </w:r>
          </w:p>
          <w:p>
            <w:pPr>
              <w:ind w:firstLine="480"/>
              <w:rPr>
                <w:color w:val="auto"/>
                <w:highlight w:val="none"/>
                <w:lang w:val="pt-BR"/>
              </w:rPr>
            </w:pPr>
            <w:r>
              <w:rPr>
                <w:color w:val="auto"/>
                <w:highlight w:val="none"/>
              </w:rPr>
              <w:t>式中</w:t>
            </w:r>
            <w:r>
              <w:rPr>
                <w:color w:val="auto"/>
                <w:highlight w:val="none"/>
                <w:lang w:val="pt-BR"/>
              </w:rPr>
              <w:t>：</w:t>
            </w:r>
            <w:r>
              <w:rPr>
                <w:color w:val="auto"/>
                <w:highlight w:val="none"/>
                <w:lang w:val="pt-BR"/>
              </w:rPr>
              <w:object>
                <v:shape id="_x0000_i1026" o:spt="75" type="#_x0000_t75" style="height:19pt;width:29.9pt;" o:ole="t" filled="f" o:preferrelative="t" stroked="f" coordsize="21600,21600">
                  <v:path/>
                  <v:fill on="f" focussize="0,0"/>
                  <v:stroke on="f" joinstyle="miter"/>
                  <v:imagedata r:id="rId19" o:title=""/>
                  <o:lock v:ext="edit" aspectratio="t"/>
                  <w10:wrap type="none"/>
                  <w10:anchorlock/>
                </v:shape>
                <o:OLEObject Type="Embed" ProgID="Equation.3" ShapeID="_x0000_i1026" DrawAspect="Content" ObjectID="_1468075726" r:id="rId18">
                  <o:LockedField>false</o:LockedField>
                </o:OLEObject>
              </w:object>
            </w:r>
            <w:r>
              <w:rPr>
                <w:color w:val="auto"/>
                <w:highlight w:val="none"/>
                <w:lang w:val="pt-BR"/>
              </w:rPr>
              <w:t>——</w:t>
            </w:r>
            <w:r>
              <w:rPr>
                <w:color w:val="auto"/>
                <w:highlight w:val="none"/>
              </w:rPr>
              <w:t>预测点处声压级</w:t>
            </w:r>
            <w:r>
              <w:rPr>
                <w:color w:val="auto"/>
                <w:highlight w:val="none"/>
                <w:lang w:val="pt-BR"/>
              </w:rPr>
              <w:t>，dB；</w:t>
            </w:r>
          </w:p>
          <w:p>
            <w:pPr>
              <w:ind w:firstLine="480"/>
              <w:rPr>
                <w:color w:val="auto"/>
                <w:highlight w:val="none"/>
                <w:lang w:val="pt-BR"/>
              </w:rPr>
            </w:pPr>
            <w:r>
              <w:rPr>
                <w:color w:val="auto"/>
                <w:highlight w:val="none"/>
                <w:lang w:val="pt-BR"/>
              </w:rPr>
              <w:object>
                <v:shape id="_x0000_i1027" o:spt="75" type="#_x0000_t75" style="height:19.7pt;width:28.55pt;" o:ole="t" filled="f" o:preferrelative="t" stroked="f" coordsize="21600,21600">
                  <v:path/>
                  <v:fill on="f" focussize="0,0"/>
                  <v:stroke on="f" joinstyle="miter"/>
                  <v:imagedata r:id="rId21" o:title=""/>
                  <o:lock v:ext="edit" aspectratio="t"/>
                  <w10:wrap type="none"/>
                  <w10:anchorlock/>
                </v:shape>
                <o:OLEObject Type="Embed" ProgID="Equation.3" ShapeID="_x0000_i1027" DrawAspect="Content" ObjectID="_1468075727" r:id="rId20">
                  <o:LockedField>false</o:LockedField>
                </o:OLEObject>
              </w:object>
            </w:r>
            <w:r>
              <w:rPr>
                <w:color w:val="auto"/>
                <w:highlight w:val="none"/>
                <w:lang w:val="pt-BR"/>
              </w:rPr>
              <w:t>——</w:t>
            </w:r>
            <w:r>
              <w:rPr>
                <w:color w:val="auto"/>
                <w:highlight w:val="none"/>
              </w:rPr>
              <w:t>参考位置r0处的声压级</w:t>
            </w:r>
            <w:r>
              <w:rPr>
                <w:color w:val="auto"/>
                <w:highlight w:val="none"/>
                <w:lang w:val="pt-BR"/>
              </w:rPr>
              <w:t>，dB；</w:t>
            </w:r>
          </w:p>
          <w:p>
            <w:pPr>
              <w:ind w:firstLine="480"/>
              <w:rPr>
                <w:color w:val="auto"/>
                <w:highlight w:val="none"/>
                <w:lang w:val="pt-BR"/>
              </w:rPr>
            </w:pPr>
            <w:r>
              <w:rPr>
                <w:color w:val="auto"/>
                <w:highlight w:val="none"/>
                <w:lang w:val="pt-BR"/>
              </w:rPr>
              <w:object>
                <v:shape id="_x0000_i1028" o:spt="75" type="#_x0000_t75" style="height:19pt;width:16.3pt;" o:ole="t" filled="f" o:preferrelative="t" stroked="f" coordsize="21600,21600">
                  <v:path/>
                  <v:fill on="f" focussize="0,0"/>
                  <v:stroke on="f" joinstyle="miter"/>
                  <v:imagedata r:id="rId23" o:title=""/>
                  <o:lock v:ext="edit" aspectratio="t"/>
                  <w10:wrap type="none"/>
                  <w10:anchorlock/>
                </v:shape>
                <o:OLEObject Type="Embed" ProgID="Equation.3" ShapeID="_x0000_i1028" DrawAspect="Content" ObjectID="_1468075728" r:id="rId22">
                  <o:LockedField>false</o:LockedField>
                </o:OLEObject>
              </w:object>
            </w:r>
            <w:r>
              <w:rPr>
                <w:color w:val="auto"/>
                <w:highlight w:val="none"/>
                <w:lang w:val="pt-BR"/>
              </w:rPr>
              <w:t>——指向性校正，</w:t>
            </w:r>
            <w:r>
              <w:rPr>
                <w:rFonts w:hint="eastAsia"/>
                <w:color w:val="auto"/>
                <w:highlight w:val="none"/>
              </w:rPr>
              <w:t>它描述点声源的等效连续声压级与产生声功率级</w:t>
            </w:r>
            <w:r>
              <w:rPr>
                <w:color w:val="auto"/>
                <w:highlight w:val="none"/>
              </w:rPr>
              <w:t>Lw</w:t>
            </w:r>
            <w:r>
              <w:rPr>
                <w:rFonts w:hint="eastAsia"/>
                <w:color w:val="auto"/>
                <w:highlight w:val="none"/>
              </w:rPr>
              <w:t>的全向点声源在规定方向的声级的偏差程度，</w:t>
            </w:r>
            <w:r>
              <w:rPr>
                <w:color w:val="auto"/>
                <w:highlight w:val="none"/>
                <w:lang w:val="pt-BR"/>
              </w:rPr>
              <w:t>dB；</w:t>
            </w:r>
          </w:p>
          <w:p>
            <w:pPr>
              <w:ind w:firstLine="480"/>
              <w:rPr>
                <w:color w:val="auto"/>
                <w:highlight w:val="none"/>
              </w:rPr>
            </w:pPr>
            <w:r>
              <w:rPr>
                <w:color w:val="auto"/>
                <w:highlight w:val="none"/>
                <w:lang w:val="pt-BR"/>
              </w:rPr>
              <w:object>
                <v:shape id="_x0000_i1029" o:spt="75" type="#_x0000_t75" style="height:19pt;width:22.4pt;" o:ole="t" filled="f" o:preferrelative="t" stroked="f" coordsize="21600,21600">
                  <v:path/>
                  <v:fill on="f" focussize="0,0"/>
                  <v:stroke on="f" joinstyle="miter"/>
                  <v:imagedata r:id="rId25" o:title=""/>
                  <o:lock v:ext="edit" aspectratio="t"/>
                  <w10:wrap type="none"/>
                  <w10:anchorlock/>
                </v:shape>
                <o:OLEObject Type="Embed" ProgID="Equation.3" ShapeID="_x0000_i1029" DrawAspect="Content" ObjectID="_1468075729" r:id="rId24">
                  <o:LockedField>false</o:LockedField>
                </o:OLEObject>
              </w:object>
            </w:r>
            <w:r>
              <w:rPr>
                <w:color w:val="auto"/>
                <w:highlight w:val="none"/>
              </w:rPr>
              <w:t>——几何发散引起的衰减，</w:t>
            </w:r>
            <w:r>
              <w:rPr>
                <w:color w:val="auto"/>
                <w:highlight w:val="none"/>
                <w:lang w:val="pt-BR"/>
              </w:rPr>
              <w:t>dB；</w:t>
            </w:r>
          </w:p>
          <w:p>
            <w:pPr>
              <w:ind w:firstLine="480"/>
              <w:rPr>
                <w:color w:val="auto"/>
                <w:highlight w:val="none"/>
                <w:lang w:val="pt-BR"/>
              </w:rPr>
            </w:pPr>
            <w:r>
              <w:rPr>
                <w:color w:val="auto"/>
                <w:highlight w:val="none"/>
                <w:lang w:val="pt-BR"/>
              </w:rPr>
              <w:object>
                <v:shape id="_x0000_i1030" o:spt="75" type="#_x0000_t75" style="height:19.7pt;width:19pt;" o:ole="t" filled="f" o:preferrelative="t" stroked="f" coordsize="21600,21600">
                  <v:path/>
                  <v:fill on="f" focussize="0,0"/>
                  <v:stroke on="f" joinstyle="miter"/>
                  <v:imagedata r:id="rId27" o:title=""/>
                  <o:lock v:ext="edit" aspectratio="t"/>
                  <w10:wrap type="none"/>
                  <w10:anchorlock/>
                </v:shape>
                <o:OLEObject Type="Embed" ProgID="Equation.3" ShapeID="_x0000_i1030" DrawAspect="Content" ObjectID="_1468075730" r:id="rId26">
                  <o:LockedField>false</o:LockedField>
                </o:OLEObject>
              </w:object>
            </w:r>
            <w:r>
              <w:rPr>
                <w:color w:val="auto"/>
                <w:highlight w:val="none"/>
              </w:rPr>
              <w:t>——地面效应引起的衰减，</w:t>
            </w:r>
            <w:r>
              <w:rPr>
                <w:color w:val="auto"/>
                <w:highlight w:val="none"/>
                <w:lang w:val="pt-BR"/>
              </w:rPr>
              <w:t>dB；</w:t>
            </w:r>
          </w:p>
          <w:p>
            <w:pPr>
              <w:ind w:firstLine="480"/>
              <w:rPr>
                <w:color w:val="auto"/>
                <w:highlight w:val="none"/>
              </w:rPr>
            </w:pPr>
            <w:r>
              <w:rPr>
                <w:color w:val="auto"/>
                <w:highlight w:val="none"/>
                <w:lang w:val="pt-BR"/>
              </w:rPr>
              <w:object>
                <v:shape id="_x0000_i1031" o:spt="75" type="#_x0000_t75" style="height:19pt;width:22.4pt;" o:ole="t" filled="f" o:preferrelative="t" stroked="f" coordsize="21600,21600">
                  <v:path/>
                  <v:fill on="f" focussize="0,0"/>
                  <v:stroke on="f" joinstyle="miter"/>
                  <v:imagedata r:id="rId29" o:title=""/>
                  <o:lock v:ext="edit" aspectratio="t"/>
                  <w10:wrap type="none"/>
                  <w10:anchorlock/>
                </v:shape>
                <o:OLEObject Type="Embed" ProgID="Equation.3" ShapeID="_x0000_i1031" DrawAspect="Content" ObjectID="_1468075731" r:id="rId28">
                  <o:LockedField>false</o:LockedField>
                </o:OLEObject>
              </w:object>
            </w:r>
            <w:r>
              <w:rPr>
                <w:color w:val="auto"/>
                <w:highlight w:val="none"/>
              </w:rPr>
              <w:t>——大气吸收引起的衰减，</w:t>
            </w:r>
            <w:r>
              <w:rPr>
                <w:color w:val="auto"/>
                <w:highlight w:val="none"/>
                <w:lang w:val="pt-BR"/>
              </w:rPr>
              <w:t>dB；</w:t>
            </w:r>
          </w:p>
          <w:p>
            <w:pPr>
              <w:ind w:firstLine="480"/>
              <w:rPr>
                <w:color w:val="auto"/>
                <w:highlight w:val="none"/>
                <w:lang w:val="pt-BR"/>
              </w:rPr>
            </w:pPr>
            <w:r>
              <w:rPr>
                <w:color w:val="auto"/>
                <w:highlight w:val="none"/>
                <w:lang w:val="pt-BR"/>
              </w:rPr>
              <w:object>
                <v:shape id="_x0000_i1032" o:spt="75" type="#_x0000_t75" style="height:19pt;width:22.4pt;" o:ole="t" filled="f" o:preferrelative="t" stroked="f" coordsize="21600,21600">
                  <v:path/>
                  <v:fill on="f" focussize="0,0"/>
                  <v:stroke on="f" joinstyle="miter"/>
                  <v:imagedata r:id="rId31" o:title=""/>
                  <o:lock v:ext="edit" aspectratio="t"/>
                  <w10:wrap type="none"/>
                  <w10:anchorlock/>
                </v:shape>
                <o:OLEObject Type="Embed" ProgID="Equation.3" ShapeID="_x0000_i1032" DrawAspect="Content" ObjectID="_1468075732" r:id="rId30">
                  <o:LockedField>false</o:LockedField>
                </o:OLEObject>
              </w:object>
            </w:r>
            <w:r>
              <w:rPr>
                <w:color w:val="auto"/>
                <w:highlight w:val="none"/>
                <w:lang w:val="pt-BR"/>
              </w:rPr>
              <w:t>——</w:t>
            </w:r>
            <w:r>
              <w:rPr>
                <w:rFonts w:hint="eastAsia"/>
                <w:color w:val="auto"/>
                <w:highlight w:val="none"/>
              </w:rPr>
              <w:t>障碍物屏蔽</w:t>
            </w:r>
            <w:r>
              <w:rPr>
                <w:color w:val="auto"/>
                <w:highlight w:val="none"/>
              </w:rPr>
              <w:t>引起的衰减，</w:t>
            </w:r>
            <w:r>
              <w:rPr>
                <w:color w:val="auto"/>
                <w:highlight w:val="none"/>
                <w:lang w:val="pt-BR"/>
              </w:rPr>
              <w:t>dB；</w:t>
            </w:r>
          </w:p>
          <w:p>
            <w:pPr>
              <w:ind w:firstLine="480"/>
              <w:rPr>
                <w:color w:val="auto"/>
                <w:highlight w:val="none"/>
              </w:rPr>
            </w:pPr>
            <w:r>
              <w:rPr>
                <w:color w:val="auto"/>
                <w:highlight w:val="none"/>
                <w:lang w:val="pt-BR"/>
              </w:rPr>
              <w:object>
                <v:shape id="_x0000_i1033" o:spt="75" type="#_x0000_t75" style="height:19pt;width:24.45pt;" o:ole="t" filled="f" o:preferrelative="t" stroked="f" coordsize="21600,21600">
                  <v:path/>
                  <v:fill on="f" focussize="0,0"/>
                  <v:stroke on="f" joinstyle="miter"/>
                  <v:imagedata r:id="rId33" o:title=""/>
                  <o:lock v:ext="edit" aspectratio="t"/>
                  <w10:wrap type="none"/>
                  <w10:anchorlock/>
                </v:shape>
                <o:OLEObject Type="Embed" ProgID="Equation.3" ShapeID="_x0000_i1033" DrawAspect="Content" ObjectID="_1468075733" r:id="rId32">
                  <o:LockedField>false</o:LockedField>
                </o:OLEObject>
              </w:object>
            </w:r>
            <w:r>
              <w:rPr>
                <w:color w:val="auto"/>
                <w:highlight w:val="none"/>
                <w:lang w:val="pt-BR"/>
              </w:rPr>
              <w:t>——</w:t>
            </w:r>
            <w:r>
              <w:rPr>
                <w:color w:val="auto"/>
                <w:highlight w:val="none"/>
              </w:rPr>
              <w:t>其他多方面效应引起的衰减，</w:t>
            </w:r>
            <w:r>
              <w:rPr>
                <w:color w:val="auto"/>
                <w:highlight w:val="none"/>
                <w:lang w:val="pt-BR"/>
              </w:rPr>
              <w:t>dB</w:t>
            </w:r>
            <w:r>
              <w:rPr>
                <w:color w:val="auto"/>
                <w:highlight w:val="none"/>
              </w:rPr>
              <w:t>。</w:t>
            </w:r>
          </w:p>
          <w:p>
            <w:pPr>
              <w:ind w:firstLine="480"/>
              <w:rPr>
                <w:color w:val="auto"/>
                <w:highlight w:val="none"/>
              </w:rPr>
            </w:pPr>
            <w:r>
              <w:rPr>
                <w:color w:val="auto"/>
                <w:highlight w:val="none"/>
              </w:rPr>
              <w:t>（2）室内点声源对厂界噪声预测点贡献值预测模式</w:t>
            </w:r>
          </w:p>
          <w:p>
            <w:pPr>
              <w:ind w:firstLine="480"/>
              <w:rPr>
                <w:color w:val="auto"/>
                <w:highlight w:val="none"/>
              </w:rPr>
            </w:pPr>
            <w:r>
              <w:rPr>
                <w:color w:val="auto"/>
                <w:highlight w:val="none"/>
              </w:rPr>
              <w:t>室内声源首先换算为等效室外声源，再按各类声源模式计算。</w:t>
            </w:r>
          </w:p>
          <w:p>
            <w:pPr>
              <w:ind w:firstLine="480"/>
              <w:rPr>
                <w:color w:val="auto"/>
                <w:highlight w:val="none"/>
              </w:rPr>
            </w:pPr>
            <w:r>
              <w:rPr>
                <w:color w:val="auto"/>
                <w:highlight w:val="none"/>
              </w:rPr>
              <w:t>①首先计算出某个室内声源靠近围护结构处的倍频带声压级：</w:t>
            </w:r>
          </w:p>
          <w:p>
            <w:pPr>
              <w:pStyle w:val="82"/>
              <w:jc w:val="both"/>
              <w:rPr>
                <w:rFonts w:ascii="Times New Roman" w:hAnsi="Times New Roman" w:eastAsia="仿宋_GB2312"/>
                <w:color w:val="auto"/>
                <w:highlight w:val="none"/>
              </w:rPr>
            </w:pPr>
            <w:r>
              <w:rPr>
                <w:rFonts w:ascii="Times New Roman" w:hAnsi="Times New Roman" w:eastAsia="仿宋_GB2312"/>
                <w:color w:val="auto"/>
                <w:highlight w:val="none"/>
              </w:rPr>
              <w:object>
                <v:shape id="_x0000_i1034" o:spt="75" type="#_x0000_t75" style="height:29.9pt;width:136.55pt;" o:ole="t" filled="f" o:preferrelative="t" stroked="f" coordsize="21600,21600">
                  <v:path/>
                  <v:fill on="f" focussize="0,0"/>
                  <v:stroke on="f" joinstyle="miter"/>
                  <v:imagedata r:id="rId35" o:title=""/>
                  <o:lock v:ext="edit" aspectratio="t"/>
                  <w10:wrap type="none"/>
                  <w10:anchorlock/>
                </v:shape>
                <o:OLEObject Type="Embed" ProgID="Equation.3" ShapeID="_x0000_i1034" DrawAspect="Content" ObjectID="_1468075734" r:id="rId34">
                  <o:LockedField>false</o:LockedField>
                </o:OLEObject>
              </w:object>
            </w:r>
          </w:p>
          <w:p>
            <w:pPr>
              <w:ind w:firstLine="480"/>
              <w:rPr>
                <w:color w:val="auto"/>
                <w:highlight w:val="none"/>
              </w:rPr>
            </w:pPr>
            <w:r>
              <w:rPr>
                <w:color w:val="auto"/>
                <w:highlight w:val="none"/>
              </w:rPr>
              <w:t>式中：</w:t>
            </w:r>
            <w:r>
              <w:rPr>
                <w:color w:val="auto"/>
                <w:highlight w:val="none"/>
              </w:rPr>
              <w:object>
                <v:shape id="_x0000_i1035" o:spt="75" type="#_x0000_t75" style="height:19pt;width:19pt;" o:ole="t" filled="f" o:preferrelative="t" stroked="f" coordsize="21600,21600">
                  <v:path/>
                  <v:fill on="f" focussize="0,0"/>
                  <v:stroke on="f" joinstyle="miter"/>
                  <v:imagedata r:id="rId37" o:title=""/>
                  <o:lock v:ext="edit" aspectratio="t"/>
                  <w10:wrap type="none"/>
                  <w10:anchorlock/>
                </v:shape>
                <o:OLEObject Type="Embed" ProgID="Equation.3" ShapeID="_x0000_i1035" DrawAspect="Content" ObjectID="_1468075735" r:id="rId36">
                  <o:LockedField>false</o:LockedField>
                </o:OLEObject>
              </w:object>
            </w:r>
            <w:r>
              <w:rPr>
                <w:color w:val="auto"/>
                <w:highlight w:val="none"/>
                <w:lang w:val="pt-BR"/>
              </w:rPr>
              <w:t>——</w:t>
            </w:r>
            <w:r>
              <w:rPr>
                <w:rFonts w:hint="eastAsia"/>
                <w:color w:val="auto"/>
                <w:highlight w:val="none"/>
              </w:rPr>
              <w:t xml:space="preserve">靠近开口处（或窗户）室内某倍频带的声压级或 </w:t>
            </w:r>
            <w:r>
              <w:rPr>
                <w:color w:val="auto"/>
                <w:highlight w:val="none"/>
              </w:rPr>
              <w:t xml:space="preserve">A </w:t>
            </w:r>
            <w:r>
              <w:rPr>
                <w:rFonts w:hint="eastAsia"/>
                <w:color w:val="auto"/>
                <w:highlight w:val="none"/>
              </w:rPr>
              <w:t>声级</w:t>
            </w:r>
            <w:r>
              <w:rPr>
                <w:color w:val="auto"/>
                <w:highlight w:val="none"/>
              </w:rPr>
              <w:t>，</w:t>
            </w:r>
            <w:r>
              <w:rPr>
                <w:color w:val="auto"/>
                <w:highlight w:val="none"/>
                <w:lang w:val="pt-BR"/>
              </w:rPr>
              <w:t>dB；</w:t>
            </w:r>
          </w:p>
          <w:p>
            <w:pPr>
              <w:ind w:firstLine="480"/>
              <w:rPr>
                <w:color w:val="auto"/>
                <w:highlight w:val="none"/>
              </w:rPr>
            </w:pPr>
            <w:r>
              <w:rPr>
                <w:color w:val="auto"/>
                <w:highlight w:val="none"/>
              </w:rPr>
              <w:object>
                <v:shape id="_x0000_i1036" o:spt="75" type="#_x0000_t75" style="height:19pt;width:16.3pt;" o:ole="t" filled="f" o:preferrelative="t" stroked="f" coordsize="21600,21600">
                  <v:path/>
                  <v:fill on="f" focussize="0,0"/>
                  <v:stroke on="f" joinstyle="miter"/>
                  <v:imagedata r:id="rId39" o:title=""/>
                  <o:lock v:ext="edit" aspectratio="t"/>
                  <w10:wrap type="none"/>
                  <w10:anchorlock/>
                </v:shape>
                <o:OLEObject Type="Embed" ProgID="Equation.3" ShapeID="_x0000_i1036" DrawAspect="Content" ObjectID="_1468075736" r:id="rId38">
                  <o:LockedField>false</o:LockedField>
                </o:OLEObject>
              </w:object>
            </w:r>
            <w:r>
              <w:rPr>
                <w:color w:val="auto"/>
                <w:highlight w:val="none"/>
                <w:lang w:val="pt-BR"/>
              </w:rPr>
              <w:t>——</w:t>
            </w:r>
            <w:r>
              <w:rPr>
                <w:rFonts w:hint="eastAsia"/>
                <w:color w:val="auto"/>
                <w:highlight w:val="none"/>
              </w:rPr>
              <w:t>点声源声功率级（</w:t>
            </w:r>
            <w:r>
              <w:rPr>
                <w:color w:val="auto"/>
                <w:highlight w:val="none"/>
              </w:rPr>
              <w:t xml:space="preserve">A </w:t>
            </w:r>
            <w:r>
              <w:rPr>
                <w:rFonts w:hint="eastAsia"/>
                <w:color w:val="auto"/>
                <w:highlight w:val="none"/>
              </w:rPr>
              <w:t>计权或倍频带）</w:t>
            </w:r>
            <w:r>
              <w:rPr>
                <w:color w:val="auto"/>
                <w:highlight w:val="none"/>
              </w:rPr>
              <w:t>，</w:t>
            </w:r>
            <w:r>
              <w:rPr>
                <w:color w:val="auto"/>
                <w:highlight w:val="none"/>
                <w:lang w:val="pt-BR"/>
              </w:rPr>
              <w:t>dB；</w:t>
            </w:r>
          </w:p>
          <w:p>
            <w:pPr>
              <w:ind w:firstLine="480"/>
              <w:rPr>
                <w:color w:val="auto"/>
                <w:highlight w:val="none"/>
              </w:rPr>
            </w:pPr>
            <w:r>
              <w:rPr>
                <w:color w:val="auto"/>
                <w:highlight w:val="none"/>
              </w:rPr>
              <w:object>
                <v:shape id="_x0000_i1037" o:spt="75" type="#_x0000_t75" style="height:7.45pt;width:7.45pt;" o:ole="t" filled="f" o:preferrelative="t" stroked="f" coordsize="21600,21600">
                  <v:path/>
                  <v:fill on="f" focussize="0,0"/>
                  <v:stroke on="f" joinstyle="miter"/>
                  <v:imagedata r:id="rId41" o:title=""/>
                  <o:lock v:ext="edit" aspectratio="t"/>
                  <w10:wrap type="none"/>
                  <w10:anchorlock/>
                </v:shape>
                <o:OLEObject Type="Embed" ProgID="Equation.3" ShapeID="_x0000_i1037" DrawAspect="Content" ObjectID="_1468075737" r:id="rId40">
                  <o:LockedField>false</o:LockedField>
                </o:OLEObject>
              </w:object>
            </w:r>
            <w:r>
              <w:rPr>
                <w:color w:val="auto"/>
                <w:highlight w:val="none"/>
                <w:lang w:val="pt-BR"/>
              </w:rPr>
              <w:t>——</w:t>
            </w:r>
            <w:r>
              <w:rPr>
                <w:color w:val="auto"/>
                <w:highlight w:val="none"/>
              </w:rPr>
              <w:t>声源到靠近围护结构某点处的距离，m；</w:t>
            </w:r>
          </w:p>
          <w:p>
            <w:pPr>
              <w:ind w:firstLine="480"/>
              <w:rPr>
                <w:color w:val="auto"/>
                <w:highlight w:val="none"/>
              </w:rPr>
            </w:pPr>
            <w:r>
              <w:rPr>
                <w:color w:val="auto"/>
                <w:highlight w:val="none"/>
              </w:rPr>
              <w:object>
                <v:shape id="_x0000_i1038" o:spt="75" type="#_x0000_t75" style="height:16.3pt;width:12.25pt;" o:ole="t" filled="f" o:preferrelative="t" stroked="f" coordsize="21600,21600">
                  <v:path/>
                  <v:fill on="f" focussize="0,0"/>
                  <v:stroke on="f" joinstyle="miter"/>
                  <v:imagedata r:id="rId43" o:title=""/>
                  <o:lock v:ext="edit" aspectratio="t"/>
                  <w10:wrap type="none"/>
                  <w10:anchorlock/>
                </v:shape>
                <o:OLEObject Type="Embed" ProgID="Equation.3" ShapeID="_x0000_i1038" DrawAspect="Content" ObjectID="_1468075738" r:id="rId42">
                  <o:LockedField>false</o:LockedField>
                </o:OLEObject>
              </w:object>
            </w:r>
            <w:r>
              <w:rPr>
                <w:color w:val="auto"/>
                <w:highlight w:val="none"/>
                <w:lang w:val="pt-BR"/>
              </w:rPr>
              <w:t>——</w:t>
            </w:r>
            <w:r>
              <w:rPr>
                <w:rFonts w:hint="eastAsia"/>
                <w:color w:val="auto"/>
                <w:highlight w:val="none"/>
              </w:rPr>
              <w:t>指向性因数；通常对无指向性声源，当声源放在房间中心时，</w:t>
            </w:r>
            <w:r>
              <w:rPr>
                <w:color w:val="auto"/>
                <w:highlight w:val="none"/>
              </w:rPr>
              <w:t>Q=1</w:t>
            </w:r>
            <w:r>
              <w:rPr>
                <w:rFonts w:hint="eastAsia"/>
                <w:color w:val="auto"/>
                <w:highlight w:val="none"/>
              </w:rPr>
              <w:t xml:space="preserve">；当放在一面墙的中 </w:t>
            </w:r>
          </w:p>
          <w:p>
            <w:pPr>
              <w:ind w:firstLine="480"/>
              <w:rPr>
                <w:color w:val="auto"/>
                <w:highlight w:val="none"/>
              </w:rPr>
            </w:pPr>
            <w:r>
              <w:rPr>
                <w:rFonts w:hint="eastAsia"/>
                <w:color w:val="auto"/>
                <w:highlight w:val="none"/>
              </w:rPr>
              <w:t>心时，</w:t>
            </w:r>
            <w:r>
              <w:rPr>
                <w:color w:val="auto"/>
                <w:highlight w:val="none"/>
              </w:rPr>
              <w:t>Q=2</w:t>
            </w:r>
            <w:r>
              <w:rPr>
                <w:rFonts w:hint="eastAsia"/>
                <w:color w:val="auto"/>
                <w:highlight w:val="none"/>
              </w:rPr>
              <w:t>；当放在两面墙夹角处时，</w:t>
            </w:r>
            <w:r>
              <w:rPr>
                <w:color w:val="auto"/>
                <w:highlight w:val="none"/>
              </w:rPr>
              <w:t>Q=4</w:t>
            </w:r>
            <w:r>
              <w:rPr>
                <w:rFonts w:hint="eastAsia"/>
                <w:color w:val="auto"/>
                <w:highlight w:val="none"/>
              </w:rPr>
              <w:t>；当放在三面墙夹角处时，</w:t>
            </w:r>
            <w:r>
              <w:rPr>
                <w:color w:val="auto"/>
                <w:highlight w:val="none"/>
              </w:rPr>
              <w:t>Q=8；</w:t>
            </w:r>
          </w:p>
          <w:p>
            <w:pPr>
              <w:ind w:firstLine="480"/>
              <w:rPr>
                <w:color w:val="auto"/>
                <w:highlight w:val="none"/>
              </w:rPr>
            </w:pPr>
            <w:r>
              <w:rPr>
                <w:color w:val="auto"/>
                <w:highlight w:val="none"/>
              </w:rPr>
              <w:object>
                <v:shape id="_x0000_i1039" o:spt="75" type="#_x0000_t75" style="height:12.25pt;width:12.25pt;" o:ole="t" filled="f" o:preferrelative="t" stroked="f" coordsize="21600,21600">
                  <v:path/>
                  <v:fill on="f" focussize="0,0"/>
                  <v:stroke on="f" joinstyle="miter"/>
                  <v:imagedata r:id="rId45" o:title=""/>
                  <o:lock v:ext="edit" aspectratio="t"/>
                  <w10:wrap type="none"/>
                  <w10:anchorlock/>
                </v:shape>
                <o:OLEObject Type="Embed" ProgID="Equation.3" ShapeID="_x0000_i1039" DrawAspect="Content" ObjectID="_1468075739" r:id="rId44">
                  <o:LockedField>false</o:LockedField>
                </o:OLEObject>
              </w:object>
            </w:r>
            <w:r>
              <w:rPr>
                <w:color w:val="auto"/>
                <w:highlight w:val="none"/>
                <w:lang w:val="pt-BR"/>
              </w:rPr>
              <w:t>——</w:t>
            </w:r>
            <w:r>
              <w:rPr>
                <w:color w:val="auto"/>
                <w:highlight w:val="none"/>
              </w:rPr>
              <w:t>房间常数，</w:t>
            </w:r>
            <w:r>
              <w:rPr>
                <w:color w:val="auto"/>
                <w:highlight w:val="none"/>
              </w:rPr>
              <w:object>
                <v:shape id="_x0000_i1040" o:spt="75" type="#_x0000_t75" style="height:16.3pt;width:77.45pt;" o:ole="t" filled="f" o:preferrelative="t" stroked="f" coordsize="21600,21600">
                  <v:path/>
                  <v:fill on="f" focussize="0,0"/>
                  <v:stroke on="f" joinstyle="miter"/>
                  <v:imagedata r:id="rId47" o:title=""/>
                  <o:lock v:ext="edit" aspectratio="t"/>
                  <w10:wrap type="none"/>
                  <w10:anchorlock/>
                </v:shape>
                <o:OLEObject Type="Embed" ProgID="Equation.3" ShapeID="_x0000_i1040" DrawAspect="Content" ObjectID="_1468075740" r:id="rId46">
                  <o:LockedField>false</o:LockedField>
                </o:OLEObject>
              </w:object>
            </w:r>
            <w:r>
              <w:rPr>
                <w:color w:val="auto"/>
                <w:highlight w:val="none"/>
              </w:rPr>
              <w:t>，</w:t>
            </w:r>
            <w:r>
              <w:rPr>
                <w:color w:val="auto"/>
                <w:highlight w:val="none"/>
              </w:rPr>
              <w:object>
                <v:shape id="_x0000_i1041" o:spt="75" type="#_x0000_t75" style="height:13.6pt;width:11.55pt;" o:ole="t" filled="f" o:preferrelative="t" stroked="f" coordsize="21600,21600">
                  <v:path/>
                  <v:fill on="f" focussize="0,0"/>
                  <v:stroke on="f" joinstyle="miter"/>
                  <v:imagedata r:id="rId49" o:title=""/>
                  <o:lock v:ext="edit" aspectratio="t"/>
                  <w10:wrap type="none"/>
                  <w10:anchorlock/>
                </v:shape>
                <o:OLEObject Type="Embed" ProgID="Equation.3" ShapeID="_x0000_i1041" DrawAspect="Content" ObjectID="_1468075741" r:id="rId48">
                  <o:LockedField>false</o:LockedField>
                </o:OLEObject>
              </w:object>
            </w:r>
            <w:r>
              <w:rPr>
                <w:color w:val="auto"/>
                <w:highlight w:val="none"/>
              </w:rPr>
              <w:t>为房间内表面面积，㎡，</w:t>
            </w:r>
            <w:r>
              <w:rPr>
                <w:color w:val="auto"/>
                <w:highlight w:val="none"/>
              </w:rPr>
              <w:object>
                <v:shape id="_x0000_i1042" o:spt="75" type="#_x0000_t75" style="height:11.55pt;width:12.25pt;" o:ole="t" filled="f" o:preferrelative="t" stroked="f" coordsize="21600,21600">
                  <v:path/>
                  <v:fill on="f" focussize="0,0"/>
                  <v:stroke on="f" joinstyle="miter"/>
                  <v:imagedata r:id="rId51" o:title=""/>
                  <o:lock v:ext="edit" aspectratio="t"/>
                  <w10:wrap type="none"/>
                  <w10:anchorlock/>
                </v:shape>
                <o:OLEObject Type="Embed" ProgID="Equation.3" ShapeID="_x0000_i1042" DrawAspect="Content" ObjectID="_1468075742" r:id="rId50">
                  <o:LockedField>false</o:LockedField>
                </o:OLEObject>
              </w:object>
            </w:r>
            <w:r>
              <w:rPr>
                <w:color w:val="auto"/>
                <w:highlight w:val="none"/>
              </w:rPr>
              <w:t>为平均吸声系数。</w:t>
            </w:r>
          </w:p>
          <w:p>
            <w:pPr>
              <w:ind w:firstLine="480"/>
              <w:rPr>
                <w:color w:val="auto"/>
                <w:highlight w:val="none"/>
              </w:rPr>
            </w:pPr>
            <w:r>
              <w:rPr>
                <w:color w:val="auto"/>
                <w:highlight w:val="none"/>
              </w:rPr>
              <w:t>②计算出所有室内声源在靠近围护结构处产生的</w:t>
            </w:r>
            <w:r>
              <w:rPr>
                <w:color w:val="auto"/>
                <w:highlight w:val="none"/>
              </w:rPr>
              <w:object>
                <v:shape id="_x0000_i1043" o:spt="75" type="#_x0000_t75" style="height:12.25pt;width:6.8pt;" o:ole="t" filled="f" o:preferrelative="t" stroked="f" coordsize="21600,21600">
                  <v:path/>
                  <v:fill on="f" focussize="0,0"/>
                  <v:stroke on="f" joinstyle="miter"/>
                  <v:imagedata r:id="rId53" o:title=""/>
                  <o:lock v:ext="edit" aspectratio="t"/>
                  <w10:wrap type="none"/>
                  <w10:anchorlock/>
                </v:shape>
                <o:OLEObject Type="Embed" ProgID="Equation.3" ShapeID="_x0000_i1043" DrawAspect="Content" ObjectID="_1468075743" r:id="rId52">
                  <o:LockedField>false</o:LockedField>
                </o:OLEObject>
              </w:object>
            </w:r>
            <w:r>
              <w:rPr>
                <w:color w:val="auto"/>
                <w:highlight w:val="none"/>
              </w:rPr>
              <w:t>倍频带叠加声压级：</w:t>
            </w:r>
          </w:p>
          <w:p>
            <w:pPr>
              <w:ind w:firstLine="480"/>
              <w:rPr>
                <w:color w:val="auto"/>
                <w:highlight w:val="none"/>
              </w:rPr>
            </w:pPr>
            <w:r>
              <w:rPr>
                <w:color w:val="auto"/>
                <w:highlight w:val="none"/>
              </w:rPr>
              <w:object>
                <v:shape id="_x0000_i1044" o:spt="75" type="#_x0000_t75" style="height:35.3pt;width:130.4pt;" o:ole="t" filled="f" o:preferrelative="t" stroked="f" coordsize="21600,21600">
                  <v:path/>
                  <v:fill on="f" focussize="0,0"/>
                  <v:stroke on="f" joinstyle="miter"/>
                  <v:imagedata r:id="rId55" o:title=""/>
                  <o:lock v:ext="edit" aspectratio="t"/>
                  <w10:wrap type="none"/>
                  <w10:anchorlock/>
                </v:shape>
                <o:OLEObject Type="Embed" ProgID="Equation.3" ShapeID="_x0000_i1044" DrawAspect="Content" ObjectID="_1468075744" r:id="rId54">
                  <o:LockedField>false</o:LockedField>
                </o:OLEObject>
              </w:object>
            </w:r>
          </w:p>
          <w:p>
            <w:pPr>
              <w:ind w:firstLine="480"/>
              <w:rPr>
                <w:color w:val="auto"/>
                <w:highlight w:val="none"/>
                <w:lang w:val="pt-BR"/>
              </w:rPr>
            </w:pPr>
            <w:r>
              <w:rPr>
                <w:color w:val="auto"/>
                <w:highlight w:val="none"/>
              </w:rPr>
              <w:t>式中：</w:t>
            </w:r>
            <w:r>
              <w:rPr>
                <w:color w:val="auto"/>
                <w:highlight w:val="none"/>
              </w:rPr>
              <w:object>
                <v:shape id="_x0000_i1045" o:spt="75" type="#_x0000_t75" style="height:19pt;width:36.7pt;" o:ole="t" filled="f" o:preferrelative="t" stroked="f" coordsize="21600,21600">
                  <v:path/>
                  <v:fill on="f" focussize="0,0"/>
                  <v:stroke on="f" joinstyle="miter"/>
                  <v:imagedata r:id="rId57" o:title=""/>
                  <o:lock v:ext="edit" aspectratio="t"/>
                  <w10:wrap type="none"/>
                  <w10:anchorlock/>
                </v:shape>
                <o:OLEObject Type="Embed" ProgID="Equation.3" ShapeID="_x0000_i1045" DrawAspect="Content" ObjectID="_1468075745" r:id="rId56">
                  <o:LockedField>false</o:LockedField>
                </o:OLEObject>
              </w:object>
            </w:r>
            <w:r>
              <w:rPr>
                <w:color w:val="auto"/>
                <w:highlight w:val="none"/>
                <w:lang w:val="pt-BR"/>
              </w:rPr>
              <w:t>——靠近围护结构处室内N个声源</w:t>
            </w:r>
            <w:r>
              <w:rPr>
                <w:color w:val="auto"/>
                <w:highlight w:val="none"/>
              </w:rPr>
              <w:object>
                <v:shape id="_x0000_i1046" o:spt="75" type="#_x0000_t75" style="height:12.25pt;width:6.8pt;" o:ole="t" filled="f" o:preferrelative="t" stroked="f" coordsize="21600,21600">
                  <v:path/>
                  <v:fill on="f" focussize="0,0"/>
                  <v:stroke on="f" joinstyle="miter"/>
                  <v:imagedata r:id="rId59" o:title=""/>
                  <o:lock v:ext="edit" aspectratio="t"/>
                  <w10:wrap type="none"/>
                  <w10:anchorlock/>
                </v:shape>
                <o:OLEObject Type="Embed" ProgID="Equation.3" ShapeID="_x0000_i1046" DrawAspect="Content" ObjectID="_1468075746" r:id="rId58">
                  <o:LockedField>false</o:LockedField>
                </o:OLEObject>
              </w:object>
            </w:r>
            <w:r>
              <w:rPr>
                <w:color w:val="auto"/>
                <w:highlight w:val="none"/>
                <w:lang w:val="pt-BR"/>
              </w:rPr>
              <w:t>倍频带的叠加声压级，dB；</w:t>
            </w:r>
          </w:p>
          <w:p>
            <w:pPr>
              <w:ind w:firstLine="480"/>
              <w:rPr>
                <w:color w:val="auto"/>
                <w:highlight w:val="none"/>
                <w:lang w:val="pt-BR"/>
              </w:rPr>
            </w:pPr>
            <w:r>
              <w:rPr>
                <w:color w:val="auto"/>
                <w:highlight w:val="none"/>
              </w:rPr>
              <w:object>
                <v:shape id="_x0000_i1047" o:spt="75" type="#_x0000_t75" style="height:19pt;width:23.75pt;" o:ole="t" filled="f" o:preferrelative="t" stroked="f" coordsize="21600,21600">
                  <v:path/>
                  <v:fill on="f" focussize="0,0"/>
                  <v:stroke on="f" joinstyle="miter"/>
                  <v:imagedata r:id="rId61" o:title=""/>
                  <o:lock v:ext="edit" aspectratio="t"/>
                  <w10:wrap type="none"/>
                  <w10:anchorlock/>
                </v:shape>
                <o:OLEObject Type="Embed" ProgID="Equation.3" ShapeID="_x0000_i1047" DrawAspect="Content" ObjectID="_1468075747" r:id="rId60">
                  <o:LockedField>false</o:LockedField>
                </o:OLEObject>
              </w:object>
            </w:r>
            <w:r>
              <w:rPr>
                <w:color w:val="auto"/>
                <w:highlight w:val="none"/>
                <w:lang w:val="pt-BR"/>
              </w:rPr>
              <w:t>——室内</w:t>
            </w:r>
            <w:r>
              <w:rPr>
                <w:color w:val="auto"/>
                <w:highlight w:val="none"/>
              </w:rPr>
              <w:object>
                <v:shape id="_x0000_i1048" o:spt="75" type="#_x0000_t75" style="height:13.6pt;width:7.45pt;" o:ole="t" filled="f" o:preferrelative="t" stroked="f" coordsize="21600,21600">
                  <v:path/>
                  <v:fill on="f" focussize="0,0"/>
                  <v:stroke on="f" joinstyle="miter"/>
                  <v:imagedata r:id="rId63" o:title=""/>
                  <o:lock v:ext="edit" aspectratio="t"/>
                  <w10:wrap type="none"/>
                  <w10:anchorlock/>
                </v:shape>
                <o:OLEObject Type="Embed" ProgID="Equation.3" ShapeID="_x0000_i1048" DrawAspect="Content" ObjectID="_1468075748" r:id="rId62">
                  <o:LockedField>false</o:LockedField>
                </o:OLEObject>
              </w:object>
            </w:r>
            <w:r>
              <w:rPr>
                <w:color w:val="auto"/>
                <w:highlight w:val="none"/>
                <w:lang w:val="pt-BR"/>
              </w:rPr>
              <w:t>声源</w:t>
            </w:r>
            <w:r>
              <w:rPr>
                <w:color w:val="auto"/>
                <w:highlight w:val="none"/>
              </w:rPr>
              <w:object>
                <v:shape id="_x0000_i1049" o:spt="75" type="#_x0000_t75" style="height:12.25pt;width:6.8pt;" o:ole="t" filled="f" o:preferrelative="t" stroked="f" coordsize="21600,21600">
                  <v:path/>
                  <v:fill on="f" focussize="0,0"/>
                  <v:stroke on="f" joinstyle="miter"/>
                  <v:imagedata r:id="rId59" o:title=""/>
                  <o:lock v:ext="edit" aspectratio="t"/>
                  <w10:wrap type="none"/>
                  <w10:anchorlock/>
                </v:shape>
                <o:OLEObject Type="Embed" ProgID="Equation.3" ShapeID="_x0000_i1049" DrawAspect="Content" ObjectID="_1468075749" r:id="rId64">
                  <o:LockedField>false</o:LockedField>
                </o:OLEObject>
              </w:object>
            </w:r>
            <w:r>
              <w:rPr>
                <w:color w:val="auto"/>
                <w:highlight w:val="none"/>
                <w:lang w:val="pt-BR"/>
              </w:rPr>
              <w:t>倍频带的声压级，dB；</w:t>
            </w:r>
          </w:p>
          <w:p>
            <w:pPr>
              <w:ind w:firstLine="480"/>
              <w:rPr>
                <w:color w:val="auto"/>
                <w:highlight w:val="none"/>
              </w:rPr>
            </w:pPr>
            <w:r>
              <w:rPr>
                <w:color w:val="auto"/>
                <w:highlight w:val="none"/>
              </w:rPr>
              <w:object>
                <v:shape id="_x0000_i1050" o:spt="75" type="#_x0000_t75" style="height:13.6pt;width:13.6pt;" o:ole="t" filled="f" o:preferrelative="t" stroked="f" coordsize="21600,21600">
                  <v:path/>
                  <v:fill on="f" focussize="0,0"/>
                  <v:stroke on="f" joinstyle="miter"/>
                  <v:imagedata r:id="rId66" o:title=""/>
                  <o:lock v:ext="edit" aspectratio="t"/>
                  <w10:wrap type="none"/>
                  <w10:anchorlock/>
                </v:shape>
                <o:OLEObject Type="Embed" ProgID="Equation.3" ShapeID="_x0000_i1050" DrawAspect="Content" ObjectID="_1468075750" r:id="rId65">
                  <o:LockedField>false</o:LockedField>
                </o:OLEObject>
              </w:object>
            </w:r>
            <w:r>
              <w:rPr>
                <w:color w:val="auto"/>
                <w:highlight w:val="none"/>
                <w:lang w:val="pt-BR"/>
              </w:rPr>
              <w:t>——室内声源总数。</w:t>
            </w:r>
          </w:p>
          <w:p>
            <w:pPr>
              <w:ind w:firstLine="480"/>
              <w:rPr>
                <w:color w:val="auto"/>
                <w:highlight w:val="none"/>
              </w:rPr>
            </w:pPr>
            <w:r>
              <w:rPr>
                <w:color w:val="auto"/>
                <w:highlight w:val="none"/>
              </w:rPr>
              <w:t>③计算出室外靠近围护结构处的声压级：</w:t>
            </w:r>
          </w:p>
          <w:p>
            <w:pPr>
              <w:ind w:firstLine="480"/>
              <w:rPr>
                <w:color w:val="auto"/>
                <w:highlight w:val="none"/>
              </w:rPr>
            </w:pPr>
            <w:r>
              <w:rPr>
                <w:color w:val="auto"/>
                <w:highlight w:val="none"/>
              </w:rPr>
              <w:object>
                <v:shape id="_x0000_i1051" o:spt="75" type="#_x0000_t75" style="height:19pt;width:138.55pt;" o:ole="t" filled="f" o:preferrelative="t" stroked="f" coordsize="21600,21600">
                  <v:path/>
                  <v:fill on="f" focussize="0,0"/>
                  <v:stroke on="f" joinstyle="miter"/>
                  <v:imagedata r:id="rId68" o:title=""/>
                  <o:lock v:ext="edit" aspectratio="t"/>
                  <w10:wrap type="none"/>
                  <w10:anchorlock/>
                </v:shape>
                <o:OLEObject Type="Embed" ProgID="Equation.3" ShapeID="_x0000_i1051" DrawAspect="Content" ObjectID="_1468075751" r:id="rId67">
                  <o:LockedField>false</o:LockedField>
                </o:OLEObject>
              </w:object>
            </w:r>
          </w:p>
          <w:p>
            <w:pPr>
              <w:ind w:firstLine="480"/>
              <w:rPr>
                <w:color w:val="auto"/>
                <w:highlight w:val="none"/>
                <w:lang w:val="pt-BR"/>
              </w:rPr>
            </w:pPr>
            <w:r>
              <w:rPr>
                <w:color w:val="auto"/>
                <w:highlight w:val="none"/>
              </w:rPr>
              <w:t>式中：</w:t>
            </w:r>
            <w:r>
              <w:rPr>
                <w:color w:val="auto"/>
                <w:highlight w:val="none"/>
              </w:rPr>
              <w:object>
                <v:shape id="_x0000_i1052" o:spt="75" type="#_x0000_t75" style="height:19pt;width:41.45pt;" o:ole="t" filled="f" o:preferrelative="t" stroked="f" coordsize="21600,21600">
                  <v:path/>
                  <v:fill on="f" focussize="0,0"/>
                  <v:stroke on="f" joinstyle="miter"/>
                  <v:imagedata r:id="rId70" o:title=""/>
                  <o:lock v:ext="edit" aspectratio="t"/>
                  <w10:wrap type="none"/>
                  <w10:anchorlock/>
                </v:shape>
                <o:OLEObject Type="Embed" ProgID="Equation.3" ShapeID="_x0000_i1052" DrawAspect="Content" ObjectID="_1468075752" r:id="rId69">
                  <o:LockedField>false</o:LockedField>
                </o:OLEObject>
              </w:object>
            </w:r>
            <w:r>
              <w:rPr>
                <w:color w:val="auto"/>
                <w:highlight w:val="none"/>
                <w:lang w:val="pt-BR"/>
              </w:rPr>
              <w:t>——靠近围护结构处室外N个声源</w:t>
            </w:r>
            <w:r>
              <w:rPr>
                <w:color w:val="auto"/>
                <w:highlight w:val="none"/>
              </w:rPr>
              <w:object>
                <v:shape id="_x0000_i1053" o:spt="75" type="#_x0000_t75" style="height:12.25pt;width:6.8pt;" o:ole="t" filled="f" o:preferrelative="t" stroked="f" coordsize="21600,21600">
                  <v:path/>
                  <v:fill on="f" focussize="0,0"/>
                  <v:stroke on="f" joinstyle="miter"/>
                  <v:imagedata r:id="rId59" o:title=""/>
                  <o:lock v:ext="edit" aspectratio="t"/>
                  <w10:wrap type="none"/>
                  <w10:anchorlock/>
                </v:shape>
                <o:OLEObject Type="Embed" ProgID="Equation.3" ShapeID="_x0000_i1053" DrawAspect="Content" ObjectID="_1468075753" r:id="rId71">
                  <o:LockedField>false</o:LockedField>
                </o:OLEObject>
              </w:object>
            </w:r>
            <w:r>
              <w:rPr>
                <w:color w:val="auto"/>
                <w:highlight w:val="none"/>
                <w:lang w:val="pt-BR"/>
              </w:rPr>
              <w:t>倍频带的叠加声压级，dB；</w:t>
            </w:r>
          </w:p>
          <w:p>
            <w:pPr>
              <w:ind w:firstLine="480"/>
              <w:rPr>
                <w:color w:val="auto"/>
                <w:highlight w:val="none"/>
              </w:rPr>
            </w:pPr>
            <w:r>
              <w:rPr>
                <w:color w:val="auto"/>
                <w:highlight w:val="none"/>
              </w:rPr>
              <w:object>
                <v:shape id="_x0000_i1054" o:spt="75" type="#_x0000_t75" style="height:19pt;width:19pt;" o:ole="t" filled="f" o:preferrelative="t" stroked="f" coordsize="21600,21600">
                  <v:path/>
                  <v:fill on="f" focussize="0,0"/>
                  <v:stroke on="f" joinstyle="miter"/>
                  <v:imagedata r:id="rId73" o:title=""/>
                  <o:lock v:ext="edit" aspectratio="t"/>
                  <w10:wrap type="none"/>
                  <w10:anchorlock/>
                </v:shape>
                <o:OLEObject Type="Embed" ProgID="Equation.3" ShapeID="_x0000_i1054" DrawAspect="Content" ObjectID="_1468075754" r:id="rId72">
                  <o:LockedField>false</o:LockedField>
                </o:OLEObject>
              </w:object>
            </w:r>
            <w:r>
              <w:rPr>
                <w:color w:val="auto"/>
                <w:highlight w:val="none"/>
                <w:lang w:val="pt-BR"/>
              </w:rPr>
              <w:t>——围护结构</w:t>
            </w:r>
            <w:r>
              <w:rPr>
                <w:color w:val="auto"/>
                <w:highlight w:val="none"/>
              </w:rPr>
              <w:object>
                <v:shape id="_x0000_i1055" o:spt="75" type="#_x0000_t75" style="height:12.25pt;width:6.8pt;" o:ole="t" filled="f" o:preferrelative="t" stroked="f" coordsize="21600,21600">
                  <v:path/>
                  <v:fill on="f" focussize="0,0"/>
                  <v:stroke on="f" joinstyle="miter"/>
                  <v:imagedata r:id="rId59" o:title=""/>
                  <o:lock v:ext="edit" aspectratio="t"/>
                  <w10:wrap type="none"/>
                  <w10:anchorlock/>
                </v:shape>
                <o:OLEObject Type="Embed" ProgID="Equation.3" ShapeID="_x0000_i1055" DrawAspect="Content" ObjectID="_1468075755" r:id="rId74">
                  <o:LockedField>false</o:LockedField>
                </o:OLEObject>
              </w:object>
            </w:r>
            <w:r>
              <w:rPr>
                <w:color w:val="auto"/>
                <w:highlight w:val="none"/>
                <w:lang w:val="pt-BR"/>
              </w:rPr>
              <w:t>倍频带的隔声量，dB；</w:t>
            </w:r>
          </w:p>
          <w:p>
            <w:pPr>
              <w:ind w:firstLine="480"/>
              <w:rPr>
                <w:color w:val="auto"/>
                <w:highlight w:val="none"/>
              </w:rPr>
            </w:pPr>
            <w:r>
              <w:rPr>
                <w:color w:val="auto"/>
                <w:highlight w:val="none"/>
              </w:rPr>
              <w:t>④将室外声源的声压级和透过面积换算成等效的室外声源，计算出中心位置位于透声面积（S）处的等效声源的倍频带声功率级。</w:t>
            </w:r>
          </w:p>
          <w:p>
            <w:pPr>
              <w:ind w:firstLine="560"/>
              <w:rPr>
                <w:rFonts w:eastAsia="仿宋_GB2312"/>
                <w:color w:val="auto"/>
                <w:sz w:val="28"/>
                <w:szCs w:val="28"/>
                <w:highlight w:val="none"/>
              </w:rPr>
            </w:pPr>
            <w:r>
              <w:rPr>
                <w:rFonts w:eastAsia="仿宋_GB2312"/>
                <w:color w:val="auto"/>
                <w:sz w:val="28"/>
                <w:szCs w:val="28"/>
                <w:highlight w:val="none"/>
              </w:rPr>
              <w:drawing>
                <wp:anchor distT="0" distB="0" distL="114300" distR="114300" simplePos="0" relativeHeight="251664384" behindDoc="0" locked="0" layoutInCell="1" allowOverlap="1">
                  <wp:simplePos x="0" y="0"/>
                  <wp:positionH relativeFrom="column">
                    <wp:posOffset>330835</wp:posOffset>
                  </wp:positionH>
                  <wp:positionV relativeFrom="paragraph">
                    <wp:posOffset>11430</wp:posOffset>
                  </wp:positionV>
                  <wp:extent cx="1352550" cy="238125"/>
                  <wp:effectExtent l="0" t="0" r="0" b="8255"/>
                  <wp:wrapNone/>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75"/>
                          <a:stretch>
                            <a:fillRect/>
                          </a:stretch>
                        </pic:blipFill>
                        <pic:spPr>
                          <a:xfrm>
                            <a:off x="0" y="0"/>
                            <a:ext cx="1352550" cy="238125"/>
                          </a:xfrm>
                          <a:prstGeom prst="rect">
                            <a:avLst/>
                          </a:prstGeom>
                          <a:noFill/>
                          <a:ln>
                            <a:noFill/>
                          </a:ln>
                        </pic:spPr>
                      </pic:pic>
                    </a:graphicData>
                  </a:graphic>
                </wp:anchor>
              </w:drawing>
            </w:r>
          </w:p>
          <w:p>
            <w:pPr>
              <w:ind w:firstLine="480"/>
              <w:rPr>
                <w:color w:val="auto"/>
                <w:highlight w:val="none"/>
              </w:rPr>
            </w:pPr>
            <w:r>
              <w:rPr>
                <w:color w:val="auto"/>
                <w:highlight w:val="none"/>
              </w:rPr>
              <w:t>⑤等效室外声源的位置为围护结构的位置，其倍频带声功率级为</w:t>
            </w:r>
            <w:r>
              <w:rPr>
                <w:color w:val="auto"/>
                <w:highlight w:val="none"/>
              </w:rPr>
              <w:object>
                <v:shape id="_x0000_i1056" o:spt="75" type="#_x0000_t75" style="height:19pt;width:16.3pt;" o:ole="t" filled="f" o:preferrelative="t" stroked="f" coordsize="21600,21600">
                  <v:path/>
                  <v:fill on="f" focussize="0,0"/>
                  <v:stroke on="f" joinstyle="miter"/>
                  <v:imagedata r:id="rId77" o:title=""/>
                  <o:lock v:ext="edit" aspectratio="t"/>
                  <w10:wrap type="none"/>
                  <w10:anchorlock/>
                </v:shape>
                <o:OLEObject Type="Embed" ProgID="Equation.3" ShapeID="_x0000_i1056" DrawAspect="Content" ObjectID="_1468075756" r:id="rId76">
                  <o:LockedField>false</o:LockedField>
                </o:OLEObject>
              </w:object>
            </w:r>
            <w:r>
              <w:rPr>
                <w:color w:val="auto"/>
                <w:highlight w:val="none"/>
              </w:rPr>
              <w:t>，根据厂房结构（门、窗）和预测点的位置关系，分别按照面声源、线声源和点声源的衰减模式，计算预测点处的声级。</w:t>
            </w:r>
          </w:p>
          <w:p>
            <w:pPr>
              <w:ind w:firstLine="480"/>
              <w:rPr>
                <w:color w:val="auto"/>
                <w:highlight w:val="none"/>
              </w:rPr>
            </w:pPr>
            <w:r>
              <w:rPr>
                <w:color w:val="auto"/>
                <w:highlight w:val="none"/>
              </w:rPr>
              <w:t>假设窗户的宽度为a，高度为b，窗户个数为n；预测点距墙中心的距离为</w:t>
            </w:r>
            <w:r>
              <w:rPr>
                <w:color w:val="auto"/>
                <w:highlight w:val="none"/>
              </w:rPr>
              <w:object>
                <v:shape id="_x0000_i1057" o:spt="75" type="#_x0000_t75" style="height:7.45pt;width:7.45pt;" o:ole="t" filled="f" o:preferrelative="t" stroked="f" coordsize="21600,21600">
                  <v:path/>
                  <v:fill on="f" focussize="0,0"/>
                  <v:stroke on="f" joinstyle="miter"/>
                  <v:imagedata r:id="rId79" o:title=""/>
                  <o:lock v:ext="edit" aspectratio="t"/>
                  <w10:wrap type="none"/>
                  <w10:anchorlock/>
                </v:shape>
                <o:OLEObject Type="Embed" ProgID="Equation.3" ShapeID="_x0000_i1057" DrawAspect="Content" ObjectID="_1468075757" r:id="rId78">
                  <o:LockedField>false</o:LockedField>
                </o:OLEObject>
              </w:object>
            </w:r>
            <w:r>
              <w:rPr>
                <w:color w:val="auto"/>
                <w:highlight w:val="none"/>
              </w:rPr>
              <w:t>。预测点的声级按照下述公式进行预测：</w:t>
            </w:r>
          </w:p>
          <w:p>
            <w:pPr>
              <w:ind w:firstLine="480"/>
              <w:rPr>
                <w:color w:val="auto"/>
                <w:highlight w:val="none"/>
              </w:rPr>
            </w:pPr>
            <w:r>
              <w:rPr>
                <w:color w:val="auto"/>
                <w:highlight w:val="none"/>
              </w:rPr>
              <w:t>当</w:t>
            </w:r>
            <w:r>
              <w:rPr>
                <w:color w:val="auto"/>
                <w:highlight w:val="none"/>
              </w:rPr>
              <w:object>
                <v:shape id="_x0000_i1058" o:spt="75" type="#_x0000_t75" style="height:29.9pt;width:29.9pt;" o:ole="t" filled="f" o:preferrelative="t" stroked="f" coordsize="21600,21600">
                  <v:path/>
                  <v:fill on="f" focussize="0,0"/>
                  <v:stroke on="f" joinstyle="miter"/>
                  <v:imagedata r:id="rId81" o:title=""/>
                  <o:lock v:ext="edit" aspectratio="t"/>
                  <w10:wrap type="none"/>
                  <w10:anchorlock/>
                </v:shape>
                <o:OLEObject Type="Embed" ProgID="Equation.3" ShapeID="_x0000_i1058" DrawAspect="Content" ObjectID="_1468075758" r:id="rId80">
                  <o:LockedField>false</o:LockedField>
                </o:OLEObject>
              </w:object>
            </w:r>
            <w:r>
              <w:rPr>
                <w:color w:val="auto"/>
                <w:highlight w:val="none"/>
              </w:rPr>
              <w:t>时，</w:t>
            </w:r>
            <w:r>
              <w:rPr>
                <w:color w:val="auto"/>
                <w:highlight w:val="none"/>
              </w:rPr>
              <w:object>
                <v:shape id="_x0000_i1059" o:spt="75" type="#_x0000_t75" style="height:17pt;width:55pt;" o:ole="t" filled="f" o:preferrelative="t" stroked="f" coordsize="21600,21600">
                  <v:path/>
                  <v:fill on="f" focussize="0,0"/>
                  <v:stroke on="f" joinstyle="miter"/>
                  <v:imagedata r:id="rId83" o:title=""/>
                  <o:lock v:ext="edit" aspectratio="t"/>
                  <w10:wrap type="none"/>
                  <w10:anchorlock/>
                </v:shape>
                <o:OLEObject Type="Embed" ProgID="Equation.3" ShapeID="_x0000_i1059" DrawAspect="Content" ObjectID="_1468075759" r:id="rId82">
                  <o:LockedField>false</o:LockedField>
                </o:OLEObject>
              </w:object>
            </w:r>
            <w:r>
              <w:rPr>
                <w:color w:val="auto"/>
                <w:highlight w:val="none"/>
              </w:rPr>
              <w:t>（即按面声源处理）；</w:t>
            </w:r>
          </w:p>
          <w:p>
            <w:pPr>
              <w:ind w:firstLine="480"/>
              <w:rPr>
                <w:color w:val="auto"/>
                <w:highlight w:val="none"/>
              </w:rPr>
            </w:pPr>
            <w:r>
              <w:rPr>
                <w:color w:val="auto"/>
                <w:highlight w:val="none"/>
              </w:rPr>
              <w:t>当</w:t>
            </w:r>
            <w:r>
              <w:rPr>
                <w:color w:val="auto"/>
                <w:highlight w:val="none"/>
              </w:rPr>
              <w:object>
                <v:shape id="_x0000_i1060" o:spt="75" type="#_x0000_t75" style="height:29.9pt;width:58.4pt;" o:ole="t" filled="f" o:preferrelative="t" stroked="f" coordsize="21600,21600">
                  <v:path/>
                  <v:fill on="f" focussize="0,0"/>
                  <v:stroke on="f" joinstyle="miter"/>
                  <v:imagedata r:id="rId85" o:title=""/>
                  <o:lock v:ext="edit" aspectratio="t"/>
                  <w10:wrap type="none"/>
                  <w10:anchorlock/>
                </v:shape>
                <o:OLEObject Type="Embed" ProgID="Equation.3" ShapeID="_x0000_i1060" DrawAspect="Content" ObjectID="_1468075760" r:id="rId84">
                  <o:LockedField>false</o:LockedField>
                </o:OLEObject>
              </w:object>
            </w:r>
            <w:r>
              <w:rPr>
                <w:color w:val="auto"/>
                <w:highlight w:val="none"/>
              </w:rPr>
              <w:t>时，</w:t>
            </w:r>
            <w:r>
              <w:rPr>
                <w:color w:val="auto"/>
                <w:highlight w:val="none"/>
              </w:rPr>
              <w:object>
                <v:shape id="_x0000_i1061" o:spt="75" type="#_x0000_t75" style="height:29.9pt;width:97.15pt;" o:ole="t" filled="f" o:preferrelative="t" stroked="f" coordsize="21600,21600">
                  <v:path/>
                  <v:fill on="f" focussize="0,0"/>
                  <v:stroke on="f" joinstyle="miter"/>
                  <v:imagedata r:id="rId87" o:title=""/>
                  <o:lock v:ext="edit" aspectratio="t"/>
                  <w10:wrap type="none"/>
                  <w10:anchorlock/>
                </v:shape>
                <o:OLEObject Type="Embed" ProgID="Equation.3" ShapeID="_x0000_i1061" DrawAspect="Content" ObjectID="_1468075761" r:id="rId86">
                  <o:LockedField>false</o:LockedField>
                </o:OLEObject>
              </w:object>
            </w:r>
            <w:r>
              <w:rPr>
                <w:color w:val="auto"/>
                <w:highlight w:val="none"/>
              </w:rPr>
              <w:t>（即按线声源处理）；</w:t>
            </w:r>
          </w:p>
          <w:p>
            <w:pPr>
              <w:ind w:firstLine="480"/>
              <w:rPr>
                <w:color w:val="auto"/>
                <w:highlight w:val="none"/>
              </w:rPr>
            </w:pPr>
            <w:r>
              <w:rPr>
                <w:color w:val="auto"/>
                <w:highlight w:val="none"/>
              </w:rPr>
              <w:t>当</w:t>
            </w:r>
            <w:r>
              <w:rPr>
                <w:color w:val="auto"/>
                <w:highlight w:val="none"/>
              </w:rPr>
              <w:object>
                <v:shape id="_x0000_i1062" o:spt="75" type="#_x0000_t75" style="height:29.9pt;width:36pt;" o:ole="t" filled="f" o:preferrelative="t" stroked="f" coordsize="21600,21600">
                  <v:path/>
                  <v:fill on="f" focussize="0,0"/>
                  <v:stroke on="f" joinstyle="miter"/>
                  <v:imagedata r:id="rId89" o:title=""/>
                  <o:lock v:ext="edit" aspectratio="t"/>
                  <w10:wrap type="none"/>
                  <w10:anchorlock/>
                </v:shape>
                <o:OLEObject Type="Embed" ProgID="Equation.3" ShapeID="_x0000_i1062" DrawAspect="Content" ObjectID="_1468075762" r:id="rId88">
                  <o:LockedField>false</o:LockedField>
                </o:OLEObject>
              </w:object>
            </w:r>
            <w:r>
              <w:rPr>
                <w:color w:val="auto"/>
                <w:highlight w:val="none"/>
              </w:rPr>
              <w:t>时，</w:t>
            </w:r>
            <w:r>
              <w:rPr>
                <w:color w:val="auto"/>
                <w:highlight w:val="none"/>
              </w:rPr>
              <w:object>
                <v:shape id="_x0000_i1063" o:spt="75" type="#_x0000_t75" style="height:29.9pt;width:107.3pt;" o:ole="t" filled="f" o:preferrelative="t" stroked="f" coordsize="21600,21600">
                  <v:path/>
                  <v:fill on="f" focussize="0,0"/>
                  <v:stroke on="f" joinstyle="miter"/>
                  <v:imagedata r:id="rId91" o:title=""/>
                  <o:lock v:ext="edit" aspectratio="t"/>
                  <w10:wrap type="none"/>
                  <w10:anchorlock/>
                </v:shape>
                <o:OLEObject Type="Embed" ProgID="Equation.3" ShapeID="_x0000_i1063" DrawAspect="Content" ObjectID="_1468075763" r:id="rId90">
                  <o:LockedField>false</o:LockedField>
                </o:OLEObject>
              </w:object>
            </w:r>
            <w:r>
              <w:rPr>
                <w:color w:val="auto"/>
                <w:highlight w:val="none"/>
              </w:rPr>
              <w:t>（即按点声源处理）；</w:t>
            </w:r>
          </w:p>
          <w:p>
            <w:pPr>
              <w:ind w:firstLine="480"/>
              <w:rPr>
                <w:color w:val="auto"/>
                <w:highlight w:val="none"/>
              </w:rPr>
            </w:pPr>
            <w:r>
              <w:rPr>
                <w:rFonts w:hint="eastAsia"/>
                <w:color w:val="auto"/>
                <w:highlight w:val="none"/>
              </w:rPr>
              <w:t>（3）</w:t>
            </w:r>
            <w:r>
              <w:rPr>
                <w:color w:val="auto"/>
                <w:highlight w:val="none"/>
              </w:rPr>
              <w:t>计算总声压级</w:t>
            </w:r>
          </w:p>
          <w:p>
            <w:pPr>
              <w:ind w:firstLine="480"/>
              <w:rPr>
                <w:color w:val="auto"/>
                <w:highlight w:val="none"/>
              </w:rPr>
            </w:pPr>
            <w:r>
              <w:rPr>
                <w:color w:val="auto"/>
                <w:highlight w:val="none"/>
              </w:rPr>
              <w:t>①计算本工程各室外噪声源和各含噪声源厂房对各预测点噪声贡献值</w:t>
            </w:r>
          </w:p>
          <w:p>
            <w:pPr>
              <w:ind w:firstLine="480"/>
              <w:rPr>
                <w:rFonts w:hint="eastAsia"/>
                <w:color w:val="auto"/>
                <w:highlight w:val="none"/>
                <w:lang w:eastAsia="zh-CN"/>
              </w:rPr>
            </w:pPr>
            <w:r>
              <w:rPr>
                <w:color w:val="auto"/>
                <w:highlight w:val="none"/>
              </w:rPr>
              <w:t>设第</w:t>
            </w:r>
            <w:r>
              <w:rPr>
                <w:color w:val="auto"/>
                <w:highlight w:val="none"/>
              </w:rPr>
              <w:object>
                <v:shape id="_x0000_i1064" o:spt="75" type="#_x0000_t75" style="height:12.25pt;width:6.8pt;" o:ole="t" filled="f" o:preferrelative="t" stroked="f" coordsize="21600,21600">
                  <v:path/>
                  <v:fill on="f" focussize="0,0"/>
                  <v:stroke on="f" joinstyle="miter"/>
                  <v:imagedata r:id="rId59" o:title=""/>
                  <o:lock v:ext="edit" aspectratio="t"/>
                  <w10:wrap type="none"/>
                  <w10:anchorlock/>
                </v:shape>
                <o:OLEObject Type="Embed" ProgID="Equation.3" ShapeID="_x0000_i1064" DrawAspect="Content" ObjectID="_1468075764" r:id="rId92">
                  <o:LockedField>false</o:LockedField>
                </o:OLEObject>
              </w:object>
            </w:r>
            <w:r>
              <w:rPr>
                <w:color w:val="auto"/>
                <w:highlight w:val="none"/>
              </w:rPr>
              <w:t>个室外声源在预测点产生的A声级为</w:t>
            </w:r>
            <w:r>
              <w:rPr>
                <w:color w:val="auto"/>
                <w:highlight w:val="none"/>
              </w:rPr>
              <w:object>
                <v:shape id="_x0000_i1065" o:spt="75" type="#_x0000_t75" style="height:19pt;width:19pt;" o:ole="t" filled="f" o:preferrelative="t" stroked="f" coordsize="21600,21600">
                  <v:path/>
                  <v:fill on="f" focussize="0,0"/>
                  <v:stroke on="f" joinstyle="miter"/>
                  <v:imagedata r:id="rId94" o:title=""/>
                  <o:lock v:ext="edit" aspectratio="t"/>
                  <w10:wrap type="none"/>
                  <w10:anchorlock/>
                </v:shape>
                <o:OLEObject Type="Embed" ProgID="Equation.3" ShapeID="_x0000_i1065" DrawAspect="Content" ObjectID="_1468075765" r:id="rId93">
                  <o:LockedField>false</o:LockedField>
                </o:OLEObject>
              </w:object>
            </w:r>
            <w:r>
              <w:rPr>
                <w:color w:val="auto"/>
                <w:highlight w:val="none"/>
              </w:rPr>
              <w:t>，在T时间内该声源工作时间为</w:t>
            </w:r>
            <w:r>
              <w:rPr>
                <w:color w:val="auto"/>
                <w:highlight w:val="none"/>
              </w:rPr>
              <w:object>
                <v:shape id="_x0000_i1066" o:spt="75" type="#_x0000_t75" style="height:19pt;width:7.45pt;" o:ole="t" filled="f" o:preferrelative="t" stroked="f" coordsize="21600,21600">
                  <v:path/>
                  <v:fill on="f" focussize="0,0"/>
                  <v:stroke on="f" joinstyle="miter"/>
                  <v:imagedata r:id="rId96" o:title=""/>
                  <o:lock v:ext="edit" aspectratio="t"/>
                  <w10:wrap type="none"/>
                  <w10:anchorlock/>
                </v:shape>
                <o:OLEObject Type="Embed" ProgID="Equation.3" ShapeID="_x0000_i1066" DrawAspect="Content" ObjectID="_1468075766" r:id="rId95">
                  <o:LockedField>false</o:LockedField>
                </o:OLEObject>
              </w:object>
            </w:r>
            <w:r>
              <w:rPr>
                <w:color w:val="auto"/>
                <w:highlight w:val="none"/>
              </w:rPr>
              <w:t>；第</w:t>
            </w:r>
            <w:r>
              <w:rPr>
                <w:color w:val="auto"/>
                <w:highlight w:val="none"/>
              </w:rPr>
              <w:object>
                <v:shape id="_x0000_i1067" o:spt="75" type="#_x0000_t75" style="height:13.6pt;width:7.45pt;" o:ole="t" filled="f" o:preferrelative="t" stroked="f" coordsize="21600,21600">
                  <v:path/>
                  <v:fill on="f" focussize="0,0"/>
                  <v:stroke on="f" joinstyle="miter"/>
                  <v:imagedata r:id="rId98" o:title=""/>
                  <o:lock v:ext="edit" aspectratio="t"/>
                  <w10:wrap type="none"/>
                  <w10:anchorlock/>
                </v:shape>
                <o:OLEObject Type="Embed" ProgID="Equation.3" ShapeID="_x0000_i1067" DrawAspect="Content" ObjectID="_1468075767" r:id="rId97">
                  <o:LockedField>false</o:LockedField>
                </o:OLEObject>
              </w:object>
            </w:r>
            <w:r>
              <w:rPr>
                <w:color w:val="auto"/>
                <w:highlight w:val="none"/>
              </w:rPr>
              <w:t>个等效室外声源在预测点产生的A声级为</w:t>
            </w:r>
            <w:r>
              <w:rPr>
                <w:color w:val="auto"/>
                <w:highlight w:val="none"/>
              </w:rPr>
              <w:object>
                <v:shape id="_x0000_i1068" o:spt="75" type="#_x0000_t75" style="height:19pt;width:19pt;" o:ole="t" filled="f" o:preferrelative="t" stroked="f" coordsize="21600,21600">
                  <v:path/>
                  <v:fill on="f" focussize="0,0"/>
                  <v:stroke on="f" joinstyle="miter"/>
                  <v:imagedata r:id="rId100" o:title=""/>
                  <o:lock v:ext="edit" aspectratio="t"/>
                  <w10:wrap type="none"/>
                  <w10:anchorlock/>
                </v:shape>
                <o:OLEObject Type="Embed" ProgID="Equation.3" ShapeID="_x0000_i1068" DrawAspect="Content" ObjectID="_1468075768" r:id="rId99">
                  <o:LockedField>false</o:LockedField>
                </o:OLEObject>
              </w:object>
            </w:r>
            <w:r>
              <w:rPr>
                <w:color w:val="auto"/>
                <w:highlight w:val="none"/>
              </w:rPr>
              <w:t>，在T时间内该声源工作时间为</w:t>
            </w:r>
            <w:r>
              <w:rPr>
                <w:color w:val="auto"/>
                <w:highlight w:val="none"/>
              </w:rPr>
              <w:object>
                <v:shape id="_x0000_i1069" o:spt="75" type="#_x0000_t75" style="height:19pt;width:11.55pt;" o:ole="t" filled="f" o:preferrelative="t" stroked="f" coordsize="21600,21600">
                  <v:path/>
                  <v:fill on="f" focussize="0,0"/>
                  <v:stroke on="f" joinstyle="miter"/>
                  <v:imagedata r:id="rId102" o:title=""/>
                  <o:lock v:ext="edit" aspectratio="t"/>
                  <w10:wrap type="none"/>
                  <w10:anchorlock/>
                </v:shape>
                <o:OLEObject Type="Embed" ProgID="Equation.3" ShapeID="_x0000_i1069" DrawAspect="Content" ObjectID="_1468075769" r:id="rId101">
                  <o:LockedField>false</o:LockedField>
                </o:OLEObject>
              </w:object>
            </w:r>
            <w:r>
              <w:rPr>
                <w:color w:val="auto"/>
                <w:highlight w:val="none"/>
              </w:rPr>
              <w:t>，则拟建工程声源对预测点产生的贡献值（</w:t>
            </w:r>
            <w:r>
              <w:rPr>
                <w:color w:val="auto"/>
                <w:highlight w:val="none"/>
              </w:rPr>
              <w:object>
                <v:shape id="_x0000_i1070" o:spt="75" type="#_x0000_t75" style="height:19pt;width:22.4pt;" o:ole="t" filled="f" o:preferrelative="t" stroked="f" coordsize="21600,21600">
                  <v:path/>
                  <v:fill on="f" focussize="0,0"/>
                  <v:stroke on="f" joinstyle="miter"/>
                  <v:imagedata r:id="rId104" o:title=""/>
                  <o:lock v:ext="edit" aspectratio="t"/>
                  <w10:wrap type="none"/>
                  <w10:anchorlock/>
                </v:shape>
                <o:OLEObject Type="Embed" ProgID="Equation.3" ShapeID="_x0000_i1070" DrawAspect="Content" ObjectID="_1468075770" r:id="rId103">
                  <o:LockedField>false</o:LockedField>
                </o:OLEObject>
              </w:object>
            </w:r>
            <w:r>
              <w:rPr>
                <w:color w:val="auto"/>
                <w:highlight w:val="none"/>
              </w:rPr>
              <w:t>）为</w:t>
            </w:r>
            <w:r>
              <w:rPr>
                <w:rFonts w:hint="eastAsia"/>
                <w:color w:val="auto"/>
                <w:highlight w:val="none"/>
                <w:lang w:eastAsia="zh-CN"/>
              </w:rPr>
              <w:t>：</w:t>
            </w:r>
          </w:p>
          <w:p>
            <w:pPr>
              <w:pStyle w:val="30"/>
              <w:rPr>
                <w:rFonts w:hint="eastAsia"/>
                <w:color w:val="auto"/>
                <w:highlight w:val="none"/>
                <w:lang w:eastAsia="zh-CN"/>
              </w:rPr>
            </w:pPr>
          </w:p>
          <w:p>
            <w:pPr>
              <w:ind w:firstLine="480"/>
              <w:rPr>
                <w:color w:val="auto"/>
                <w:highlight w:val="none"/>
              </w:rPr>
            </w:pPr>
            <w:r>
              <w:rPr>
                <w:color w:val="auto"/>
                <w:highlight w:val="none"/>
              </w:rPr>
              <w:drawing>
                <wp:anchor distT="0" distB="0" distL="114300" distR="114300" simplePos="0" relativeHeight="251664384" behindDoc="0" locked="0" layoutInCell="1" allowOverlap="1">
                  <wp:simplePos x="0" y="0"/>
                  <wp:positionH relativeFrom="column">
                    <wp:posOffset>303530</wp:posOffset>
                  </wp:positionH>
                  <wp:positionV relativeFrom="paragraph">
                    <wp:posOffset>22225</wp:posOffset>
                  </wp:positionV>
                  <wp:extent cx="2637790" cy="466090"/>
                  <wp:effectExtent l="0" t="0" r="10160" b="10795"/>
                  <wp:wrapNone/>
                  <wp:docPr id="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5"/>
                          <pic:cNvPicPr>
                            <a:picLocks noChangeAspect="1"/>
                          </pic:cNvPicPr>
                        </pic:nvPicPr>
                        <pic:blipFill>
                          <a:blip r:embed="rId105"/>
                          <a:stretch>
                            <a:fillRect/>
                          </a:stretch>
                        </pic:blipFill>
                        <pic:spPr>
                          <a:xfrm>
                            <a:off x="0" y="0"/>
                            <a:ext cx="2637790" cy="466090"/>
                          </a:xfrm>
                          <a:prstGeom prst="rect">
                            <a:avLst/>
                          </a:prstGeom>
                          <a:noFill/>
                          <a:ln>
                            <a:noFill/>
                          </a:ln>
                        </pic:spPr>
                      </pic:pic>
                    </a:graphicData>
                  </a:graphic>
                </wp:anchor>
              </w:drawing>
            </w:r>
          </w:p>
          <w:p>
            <w:pPr>
              <w:ind w:firstLine="480"/>
              <w:rPr>
                <w:color w:val="auto"/>
                <w:highlight w:val="none"/>
              </w:rPr>
            </w:pPr>
          </w:p>
          <w:p>
            <w:pPr>
              <w:ind w:firstLine="480"/>
              <w:rPr>
                <w:color w:val="auto"/>
                <w:highlight w:val="none"/>
              </w:rPr>
            </w:pPr>
            <w:r>
              <w:rPr>
                <w:color w:val="auto"/>
                <w:highlight w:val="none"/>
              </w:rPr>
              <w:t>②预测点的噪声预测值</w:t>
            </w:r>
          </w:p>
          <w:p>
            <w:pPr>
              <w:ind w:firstLine="480"/>
              <w:rPr>
                <w:color w:val="auto"/>
                <w:highlight w:val="none"/>
              </w:rPr>
            </w:pPr>
            <w:r>
              <w:rPr>
                <w:color w:val="auto"/>
                <w:highlight w:val="none"/>
              </w:rPr>
              <w:object>
                <v:shape id="_x0000_i1071" o:spt="75" type="#_x0000_t75" style="height:22.4pt;width:142.65pt;" o:ole="t" filled="f" o:preferrelative="t" stroked="f" coordsize="21600,21600">
                  <v:path/>
                  <v:fill on="f" focussize="0,0"/>
                  <v:stroke on="f" joinstyle="miter"/>
                  <v:imagedata r:id="rId107" o:title=""/>
                  <o:lock v:ext="edit" aspectratio="t"/>
                  <w10:wrap type="none"/>
                  <w10:anchorlock/>
                </v:shape>
                <o:OLEObject Type="Embed" ProgID="Equation.3" ShapeID="_x0000_i1071" DrawAspect="Content" ObjectID="_1468075771" r:id="rId106">
                  <o:LockedField>false</o:LockedField>
                </o:OLEObject>
              </w:object>
            </w:r>
          </w:p>
          <w:p>
            <w:pPr>
              <w:ind w:firstLine="480"/>
              <w:rPr>
                <w:color w:val="auto"/>
                <w:highlight w:val="none"/>
                <w:lang w:val="pt-BR"/>
              </w:rPr>
            </w:pPr>
            <w:r>
              <w:rPr>
                <w:color w:val="auto"/>
                <w:highlight w:val="none"/>
              </w:rPr>
              <w:t>式中：</w:t>
            </w:r>
            <w:r>
              <w:rPr>
                <w:color w:val="auto"/>
                <w:highlight w:val="none"/>
              </w:rPr>
              <w:object>
                <v:shape id="_x0000_i1072" o:spt="75" type="#_x0000_t75" style="height:19pt;width:22.4pt;" o:ole="t" filled="f" o:preferrelative="t" stroked="f" coordsize="21600,21600">
                  <v:path/>
                  <v:fill on="f" focussize="0,0"/>
                  <v:stroke on="f" joinstyle="miter"/>
                  <v:imagedata r:id="rId109" o:title=""/>
                  <o:lock v:ext="edit" aspectratio="t"/>
                  <w10:wrap type="none"/>
                  <w10:anchorlock/>
                </v:shape>
                <o:OLEObject Type="Embed" ProgID="Equation.3" ShapeID="_x0000_i1072" DrawAspect="Content" ObjectID="_1468075772" r:id="rId108">
                  <o:LockedField>false</o:LockedField>
                </o:OLEObject>
              </w:object>
            </w:r>
            <w:r>
              <w:rPr>
                <w:color w:val="auto"/>
                <w:highlight w:val="none"/>
                <w:lang w:val="pt-BR"/>
              </w:rPr>
              <w:t>——建设项目声源在预测点的等效声级贡献值，dB（A）；</w:t>
            </w:r>
          </w:p>
          <w:p>
            <w:pPr>
              <w:ind w:firstLine="480"/>
              <w:rPr>
                <w:color w:val="auto"/>
                <w:highlight w:val="none"/>
                <w:lang w:val="pt-BR"/>
              </w:rPr>
            </w:pPr>
            <w:r>
              <w:rPr>
                <w:color w:val="auto"/>
                <w:highlight w:val="none"/>
              </w:rPr>
              <w:object>
                <v:shape id="_x0000_i1073" o:spt="75" type="#_x0000_t75" style="height:19pt;width:22.4pt;" o:ole="t" filled="f" o:preferrelative="t" stroked="f" coordsize="21600,21600">
                  <v:path/>
                  <v:fill on="f" focussize="0,0"/>
                  <v:stroke on="f" joinstyle="miter"/>
                  <v:imagedata r:id="rId111" o:title=""/>
                  <o:lock v:ext="edit" aspectratio="t"/>
                  <w10:wrap type="none"/>
                  <w10:anchorlock/>
                </v:shape>
                <o:OLEObject Type="Embed" ProgID="Equation.3" ShapeID="_x0000_i1073" DrawAspect="Content" ObjectID="_1468075773" r:id="rId110">
                  <o:LockedField>false</o:LockedField>
                </o:OLEObject>
              </w:object>
            </w:r>
            <w:r>
              <w:rPr>
                <w:color w:val="auto"/>
                <w:highlight w:val="none"/>
                <w:lang w:val="pt-BR"/>
              </w:rPr>
              <w:t>——预测点的背景值，dB（A）。</w:t>
            </w:r>
          </w:p>
          <w:p>
            <w:pPr>
              <w:pStyle w:val="6"/>
              <w:jc w:val="both"/>
              <w:rPr>
                <w:rFonts w:ascii="Times New Roman" w:hAnsi="Times New Roman"/>
                <w:color w:val="auto"/>
                <w:highlight w:val="none"/>
                <w:lang w:val="en-US" w:eastAsia="zh-CN"/>
              </w:rPr>
            </w:pPr>
            <w:r>
              <w:rPr>
                <w:rFonts w:ascii="Times New Roman" w:hAnsi="Times New Roman"/>
                <w:color w:val="auto"/>
                <w:highlight w:val="none"/>
                <w:lang w:val="en-US" w:eastAsia="zh-CN"/>
              </w:rPr>
              <w:t>3.2</w:t>
            </w:r>
            <w:r>
              <w:rPr>
                <w:rFonts w:hint="eastAsia" w:ascii="Times New Roman" w:hAnsi="Times New Roman"/>
                <w:color w:val="auto"/>
                <w:highlight w:val="none"/>
                <w:lang w:val="en-US" w:eastAsia="zh-CN"/>
              </w:rPr>
              <w:t xml:space="preserve"> </w:t>
            </w:r>
            <w:r>
              <w:rPr>
                <w:rFonts w:ascii="Times New Roman" w:hAnsi="Times New Roman"/>
                <w:color w:val="auto"/>
                <w:highlight w:val="none"/>
                <w:lang w:val="en-US" w:eastAsia="zh-CN"/>
              </w:rPr>
              <w:t>噪声源参数的确定</w:t>
            </w:r>
          </w:p>
          <w:p>
            <w:pPr>
              <w:spacing w:line="360" w:lineRule="auto"/>
              <w:ind w:firstLine="480" w:firstLineChars="200"/>
              <w:jc w:val="left"/>
              <w:rPr>
                <w:rFonts w:hint="eastAsia" w:ascii="Times New Roman" w:hAnsi="Times New Roman" w:eastAsia="宋体" w:cs="Times New Roman"/>
                <w:color w:val="auto"/>
                <w:highlight w:val="none"/>
              </w:rPr>
            </w:pPr>
            <w:r>
              <w:rPr>
                <w:color w:val="auto"/>
                <w:highlight w:val="none"/>
              </w:rPr>
              <w:t>建设项</w:t>
            </w:r>
            <w:r>
              <w:rPr>
                <w:rFonts w:hint="eastAsia"/>
                <w:color w:val="auto"/>
                <w:highlight w:val="none"/>
              </w:rPr>
              <w:t>目所处区域的年平均风速1.82m/s、主导风向为西南风、年平均气温12.74℃、年平均相</w:t>
            </w:r>
            <w:r>
              <w:rPr>
                <w:rFonts w:hint="eastAsia" w:ascii="Times New Roman" w:hAnsi="Times New Roman" w:eastAsia="宋体" w:cs="Times New Roman"/>
                <w:color w:val="auto"/>
                <w:highlight w:val="none"/>
              </w:rPr>
              <w:t>对湿度60%、大气压强1050KPa。</w:t>
            </w:r>
          </w:p>
          <w:p>
            <w:pPr>
              <w:spacing w:line="360" w:lineRule="auto"/>
              <w:ind w:firstLine="480" w:firstLineChars="20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本项目以E：119.50577875°，N：39.9300879°为坐标原点进行预测。</w:t>
            </w:r>
          </w:p>
          <w:p>
            <w:pPr>
              <w:spacing w:line="360" w:lineRule="auto"/>
              <w:ind w:firstLine="480" w:firstLineChars="200"/>
              <w:jc w:val="left"/>
              <w:rPr>
                <w:rFonts w:hint="eastAsia" w:eastAsia="宋体"/>
                <w:color w:val="auto"/>
                <w:highlight w:val="none"/>
                <w:lang w:val="en-US" w:eastAsia="zh-CN"/>
              </w:rPr>
            </w:pPr>
            <w:r>
              <w:rPr>
                <w:color w:val="auto"/>
                <w:highlight w:val="none"/>
              </w:rPr>
              <w:t>本项目噪声主要来源为</w:t>
            </w:r>
            <w:r>
              <w:rPr>
                <w:rFonts w:hint="eastAsia"/>
                <w:color w:val="auto"/>
                <w:highlight w:val="none"/>
                <w:lang w:val="en-US" w:eastAsia="zh-CN"/>
              </w:rPr>
              <w:t>数控加工中心和龙门刨铣床</w:t>
            </w:r>
            <w:r>
              <w:rPr>
                <w:color w:val="auto"/>
                <w:highlight w:val="none"/>
              </w:rPr>
              <w:t>，噪声值为</w:t>
            </w:r>
            <w:r>
              <w:rPr>
                <w:rFonts w:hint="eastAsia"/>
                <w:color w:val="auto"/>
                <w:highlight w:val="none"/>
                <w:lang w:val="en-US" w:eastAsia="zh-CN"/>
              </w:rPr>
              <w:t>80-90</w:t>
            </w:r>
            <w:r>
              <w:rPr>
                <w:color w:val="auto"/>
                <w:highlight w:val="none"/>
              </w:rPr>
              <w:t>dB（A），项目选用低噪声设备，经建筑隔声，距离衰减，设置减振基础，</w:t>
            </w:r>
            <w:r>
              <w:rPr>
                <w:rFonts w:hint="eastAsia"/>
                <w:color w:val="auto"/>
                <w:highlight w:val="none"/>
                <w:lang w:val="en-US" w:eastAsia="zh-CN"/>
              </w:rPr>
              <w:t>加强管理，</w:t>
            </w:r>
            <w:r>
              <w:rPr>
                <w:color w:val="auto"/>
                <w:highlight w:val="none"/>
              </w:rPr>
              <w:t>噪声可降低25dB（A）左右，项目噪声污染源及治理措施见下表</w:t>
            </w:r>
            <w:r>
              <w:rPr>
                <w:rFonts w:hint="default"/>
                <w:color w:val="auto"/>
                <w:highlight w:val="none"/>
              </w:rPr>
              <w:t>。</w:t>
            </w:r>
          </w:p>
          <w:p>
            <w:pPr>
              <w:pStyle w:val="45"/>
              <w:bidi w:val="0"/>
              <w:rPr>
                <w:rFonts w:hint="default"/>
                <w:color w:val="auto"/>
                <w:highlight w:val="none"/>
              </w:rPr>
            </w:pPr>
            <w:r>
              <w:rPr>
                <w:rFonts w:hint="default"/>
                <w:color w:val="auto"/>
                <w:highlight w:val="none"/>
              </w:rPr>
              <w:t>表</w:t>
            </w:r>
            <w:r>
              <w:rPr>
                <w:rFonts w:hint="eastAsia"/>
                <w:color w:val="auto"/>
                <w:highlight w:val="none"/>
                <w:lang w:val="en-US" w:eastAsia="zh-CN"/>
              </w:rPr>
              <w:t xml:space="preserve">4-1 </w:t>
            </w:r>
            <w:r>
              <w:rPr>
                <w:rFonts w:hint="default"/>
                <w:color w:val="auto"/>
                <w:highlight w:val="none"/>
              </w:rPr>
              <w:t>项目主要噪声污染源及污染防治措施</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24"/>
              <w:gridCol w:w="2048"/>
              <w:gridCol w:w="1186"/>
              <w:gridCol w:w="1186"/>
              <w:gridCol w:w="2107"/>
              <w:gridCol w:w="11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6" w:hRule="atLeast"/>
                <w:jc w:val="center"/>
              </w:trPr>
              <w:tc>
                <w:tcPr>
                  <w:tcW w:w="724"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lang w:val="en-US" w:eastAsia="zh-CN"/>
                    </w:rPr>
                    <w:t>序号</w:t>
                  </w:r>
                </w:p>
              </w:tc>
              <w:tc>
                <w:tcPr>
                  <w:tcW w:w="2048"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lang w:val="en-US" w:eastAsia="zh-CN"/>
                    </w:rPr>
                    <w:t>噪声源</w:t>
                  </w:r>
                </w:p>
              </w:tc>
              <w:tc>
                <w:tcPr>
                  <w:tcW w:w="1186"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数量</w:t>
                  </w:r>
                </w:p>
              </w:tc>
              <w:tc>
                <w:tcPr>
                  <w:tcW w:w="1186"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lang w:val="en-US" w:eastAsia="zh-CN"/>
                    </w:rPr>
                    <w:t>噪声源强dB(A)</w:t>
                  </w:r>
                </w:p>
              </w:tc>
              <w:tc>
                <w:tcPr>
                  <w:tcW w:w="2107"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lang w:val="en-US" w:eastAsia="zh-CN"/>
                    </w:rPr>
                    <w:t>降噪措施</w:t>
                  </w:r>
                </w:p>
              </w:tc>
              <w:tc>
                <w:tcPr>
                  <w:tcW w:w="1101"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lang w:val="en-US" w:eastAsia="zh-CN"/>
                    </w:rPr>
                    <w:t>治理后dB(A)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724"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lang w:val="en-US" w:eastAsia="zh-CN"/>
                    </w:rPr>
                    <w:t>1</w:t>
                  </w:r>
                </w:p>
              </w:tc>
              <w:tc>
                <w:tcPr>
                  <w:tcW w:w="2048"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数控加工中心</w:t>
                  </w:r>
                </w:p>
              </w:tc>
              <w:tc>
                <w:tcPr>
                  <w:tcW w:w="1186"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10</w:t>
                  </w:r>
                </w:p>
              </w:tc>
              <w:tc>
                <w:tcPr>
                  <w:tcW w:w="1186"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80</w:t>
                  </w:r>
                </w:p>
              </w:tc>
              <w:tc>
                <w:tcPr>
                  <w:tcW w:w="2107"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lang w:val="en-US" w:eastAsia="zh-CN"/>
                    </w:rPr>
                    <w:t>减振基础+厂房隔声</w:t>
                  </w:r>
                </w:p>
              </w:tc>
              <w:tc>
                <w:tcPr>
                  <w:tcW w:w="1101"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724"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2</w:t>
                  </w:r>
                </w:p>
              </w:tc>
              <w:tc>
                <w:tcPr>
                  <w:tcW w:w="2048" w:type="dxa"/>
                  <w:tcBorders>
                    <w:tl2br w:val="nil"/>
                    <w:tr2bl w:val="nil"/>
                  </w:tcBorders>
                  <w:noWrap w:val="0"/>
                  <w:vAlign w:val="center"/>
                </w:tcPr>
                <w:p>
                  <w:pPr>
                    <w:pStyle w:val="63"/>
                    <w:ind w:firstLine="0" w:firstLineChars="0"/>
                    <w:rPr>
                      <w:rFonts w:hint="eastAsia"/>
                      <w:color w:val="auto"/>
                      <w:highlight w:val="none"/>
                      <w:lang w:val="en-US" w:eastAsia="zh-CN"/>
                    </w:rPr>
                  </w:pPr>
                  <w:r>
                    <w:rPr>
                      <w:rFonts w:hint="eastAsia"/>
                      <w:color w:val="auto"/>
                      <w:highlight w:val="none"/>
                      <w:lang w:val="en-US" w:eastAsia="zh-CN"/>
                    </w:rPr>
                    <w:t>龙门刨铣床</w:t>
                  </w:r>
                </w:p>
              </w:tc>
              <w:tc>
                <w:tcPr>
                  <w:tcW w:w="1186"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4</w:t>
                  </w:r>
                </w:p>
              </w:tc>
              <w:tc>
                <w:tcPr>
                  <w:tcW w:w="1186"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80</w:t>
                  </w:r>
                </w:p>
              </w:tc>
              <w:tc>
                <w:tcPr>
                  <w:tcW w:w="2107"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lang w:val="en-US" w:eastAsia="zh-CN"/>
                    </w:rPr>
                    <w:t>减振基础+厂房隔声</w:t>
                  </w:r>
                </w:p>
              </w:tc>
              <w:tc>
                <w:tcPr>
                  <w:tcW w:w="1101"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724" w:type="dxa"/>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3</w:t>
                  </w:r>
                </w:p>
              </w:tc>
              <w:tc>
                <w:tcPr>
                  <w:tcW w:w="2048" w:type="dxa"/>
                  <w:tcBorders>
                    <w:tl2br w:val="nil"/>
                    <w:tr2bl w:val="nil"/>
                  </w:tcBorders>
                  <w:noWrap w:val="0"/>
                  <w:vAlign w:val="center"/>
                </w:tcPr>
                <w:p>
                  <w:pPr>
                    <w:pStyle w:val="63"/>
                    <w:ind w:firstLine="0" w:firstLineChars="0"/>
                    <w:rPr>
                      <w:rFonts w:hint="eastAsia"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螺杆空压机</w:t>
                  </w:r>
                </w:p>
              </w:tc>
              <w:tc>
                <w:tcPr>
                  <w:tcW w:w="1186" w:type="dxa"/>
                  <w:tcBorders>
                    <w:tl2br w:val="nil"/>
                    <w:tr2bl w:val="nil"/>
                  </w:tcBorders>
                  <w:noWrap w:val="0"/>
                  <w:vAlign w:val="center"/>
                </w:tcPr>
                <w:p>
                  <w:pPr>
                    <w:pStyle w:val="63"/>
                    <w:ind w:firstLine="0" w:firstLineChars="0"/>
                    <w:rPr>
                      <w:rFonts w:hint="eastAsia"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2</w:t>
                  </w:r>
                </w:p>
              </w:tc>
              <w:tc>
                <w:tcPr>
                  <w:tcW w:w="1186" w:type="dxa"/>
                  <w:tcBorders>
                    <w:tl2br w:val="nil"/>
                    <w:tr2bl w:val="nil"/>
                  </w:tcBorders>
                  <w:noWrap w:val="0"/>
                  <w:vAlign w:val="center"/>
                </w:tcPr>
                <w:p>
                  <w:pPr>
                    <w:pStyle w:val="63"/>
                    <w:ind w:firstLine="0" w:firstLineChars="0"/>
                    <w:rPr>
                      <w:rFonts w:hint="eastAsia"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90</w:t>
                  </w:r>
                </w:p>
              </w:tc>
              <w:tc>
                <w:tcPr>
                  <w:tcW w:w="2107" w:type="dxa"/>
                  <w:tcBorders>
                    <w:tl2br w:val="nil"/>
                    <w:tr2bl w:val="nil"/>
                  </w:tcBorders>
                  <w:noWrap w:val="0"/>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default"/>
                      <w:color w:val="auto"/>
                      <w:highlight w:val="none"/>
                      <w:lang w:val="en-US" w:eastAsia="zh-CN"/>
                    </w:rPr>
                    <w:t>减振基础+厂房隔声</w:t>
                  </w:r>
                </w:p>
              </w:tc>
              <w:tc>
                <w:tcPr>
                  <w:tcW w:w="1101" w:type="dxa"/>
                  <w:tcBorders>
                    <w:tl2br w:val="nil"/>
                    <w:tr2bl w:val="nil"/>
                  </w:tcBorders>
                  <w:noWrap w:val="0"/>
                  <w:vAlign w:val="center"/>
                </w:tcPr>
                <w:p>
                  <w:pPr>
                    <w:pStyle w:val="63"/>
                    <w:ind w:firstLine="0" w:firstLineChars="0"/>
                    <w:rPr>
                      <w:rFonts w:hint="eastAsia"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55</w:t>
                  </w:r>
                </w:p>
              </w:tc>
            </w:tr>
          </w:tbl>
          <w:p>
            <w:pPr>
              <w:pStyle w:val="8"/>
              <w:bidi w:val="0"/>
              <w:rPr>
                <w:rFonts w:hint="default"/>
                <w:color w:val="auto"/>
                <w:highlight w:val="none"/>
                <w:lang w:val="en-US" w:eastAsia="zh-CN"/>
              </w:rPr>
            </w:pPr>
            <w:r>
              <w:rPr>
                <w:rFonts w:hint="default"/>
                <w:color w:val="auto"/>
                <w:highlight w:val="none"/>
                <w:lang w:val="en-US" w:eastAsia="zh-CN"/>
              </w:rPr>
              <w:t>3.</w:t>
            </w:r>
            <w:r>
              <w:rPr>
                <w:rFonts w:hint="eastAsia"/>
                <w:color w:val="auto"/>
                <w:highlight w:val="none"/>
                <w:lang w:val="en-US" w:eastAsia="zh-CN"/>
              </w:rPr>
              <w:t>3</w:t>
            </w:r>
            <w:r>
              <w:rPr>
                <w:rFonts w:hint="default"/>
                <w:color w:val="auto"/>
                <w:highlight w:val="none"/>
                <w:lang w:val="en-US" w:eastAsia="zh-CN"/>
              </w:rPr>
              <w:t xml:space="preserve"> 噪声源位置信息</w:t>
            </w:r>
          </w:p>
          <w:p>
            <w:pPr>
              <w:bidi w:val="0"/>
              <w:ind w:firstLine="480" w:firstLineChars="200"/>
              <w:rPr>
                <w:rFonts w:hint="default"/>
                <w:color w:val="auto"/>
                <w:highlight w:val="none"/>
              </w:rPr>
            </w:pPr>
            <w:r>
              <w:rPr>
                <w:rFonts w:hint="default"/>
                <w:color w:val="auto"/>
                <w:highlight w:val="none"/>
              </w:rPr>
              <w:t>项目主要噪声源强及分布情况见下表。</w:t>
            </w:r>
          </w:p>
          <w:p>
            <w:pPr>
              <w:pStyle w:val="45"/>
              <w:bidi w:val="0"/>
              <w:rPr>
                <w:rFonts w:hint="default"/>
                <w:color w:val="auto"/>
                <w:highlight w:val="none"/>
              </w:rPr>
            </w:pPr>
            <w:r>
              <w:rPr>
                <w:rFonts w:hint="default"/>
                <w:color w:val="auto"/>
                <w:highlight w:val="none"/>
              </w:rPr>
              <w:t>表</w:t>
            </w:r>
            <w:r>
              <w:rPr>
                <w:rFonts w:hint="eastAsia"/>
                <w:color w:val="auto"/>
                <w:highlight w:val="none"/>
                <w:lang w:val="en-US" w:eastAsia="zh-CN"/>
              </w:rPr>
              <w:t>4-2</w:t>
            </w:r>
            <w:r>
              <w:rPr>
                <w:rFonts w:hint="default"/>
                <w:color w:val="auto"/>
                <w:highlight w:val="none"/>
                <w:lang w:val="en-US" w:eastAsia="zh-CN"/>
              </w:rPr>
              <w:t xml:space="preserve"> </w:t>
            </w:r>
            <w:r>
              <w:rPr>
                <w:rFonts w:hint="default"/>
                <w:color w:val="auto"/>
                <w:highlight w:val="none"/>
              </w:rPr>
              <w:t>项目主要噪声源强及分布情况一览表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49"/>
              <w:gridCol w:w="2176"/>
              <w:gridCol w:w="1643"/>
              <w:gridCol w:w="1222"/>
              <w:gridCol w:w="1178"/>
              <w:gridCol w:w="12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8" w:type="pct"/>
                  <w:vMerge w:val="restart"/>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lang w:val="en-US" w:eastAsia="zh-CN"/>
                    </w:rPr>
                    <w:t>序号</w:t>
                  </w:r>
                </w:p>
              </w:tc>
              <w:tc>
                <w:tcPr>
                  <w:tcW w:w="1302" w:type="pct"/>
                  <w:vMerge w:val="restart"/>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lang w:val="en-US" w:eastAsia="zh-CN"/>
                    </w:rPr>
                    <w:t>设备名称</w:t>
                  </w:r>
                </w:p>
              </w:tc>
              <w:tc>
                <w:tcPr>
                  <w:tcW w:w="983" w:type="pct"/>
                  <w:vMerge w:val="restar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u w:val="none"/>
                      <w:lang w:val="en-US" w:eastAsia="zh-CN"/>
                    </w:rPr>
                    <w:t>最大同时工作数量</w:t>
                  </w:r>
                </w:p>
              </w:tc>
              <w:tc>
                <w:tcPr>
                  <w:tcW w:w="1436" w:type="pct"/>
                  <w:gridSpan w:val="2"/>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lang w:val="en-US" w:eastAsia="zh-CN"/>
                    </w:rPr>
                    <w:t>噪声级dB(A)</w:t>
                  </w:r>
                </w:p>
              </w:tc>
              <w:tc>
                <w:tcPr>
                  <w:tcW w:w="768" w:type="pct"/>
                  <w:vMerge w:val="restar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u w:val="none"/>
                      <w:lang w:val="en-US" w:eastAsia="zh-CN"/>
                    </w:rPr>
                    <w:t>降噪措施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8" w:type="pct"/>
                  <w:vMerge w:val="continue"/>
                  <w:tcBorders>
                    <w:tl2br w:val="nil"/>
                    <w:tr2bl w:val="nil"/>
                  </w:tcBorders>
                  <w:noWrap w:val="0"/>
                  <w:vAlign w:val="center"/>
                </w:tcPr>
                <w:p>
                  <w:pPr>
                    <w:pStyle w:val="63"/>
                    <w:ind w:firstLine="0" w:firstLineChars="0"/>
                    <w:rPr>
                      <w:rFonts w:hint="default"/>
                      <w:color w:val="auto"/>
                      <w:highlight w:val="none"/>
                      <w:lang w:val="en-US" w:eastAsia="zh-CN"/>
                    </w:rPr>
                  </w:pPr>
                </w:p>
              </w:tc>
              <w:tc>
                <w:tcPr>
                  <w:tcW w:w="1302" w:type="pct"/>
                  <w:vMerge w:val="continue"/>
                  <w:tcBorders>
                    <w:tl2br w:val="nil"/>
                    <w:tr2bl w:val="nil"/>
                  </w:tcBorders>
                  <w:noWrap w:val="0"/>
                  <w:vAlign w:val="center"/>
                </w:tcPr>
                <w:p>
                  <w:pPr>
                    <w:pStyle w:val="63"/>
                    <w:ind w:firstLine="0" w:firstLineChars="0"/>
                    <w:rPr>
                      <w:rFonts w:hint="default"/>
                      <w:color w:val="auto"/>
                      <w:highlight w:val="none"/>
                      <w:lang w:val="en-US" w:eastAsia="zh-CN"/>
                    </w:rPr>
                  </w:pPr>
                </w:p>
              </w:tc>
              <w:tc>
                <w:tcPr>
                  <w:tcW w:w="983" w:type="pct"/>
                  <w:vMerge w:val="continue"/>
                  <w:tcBorders>
                    <w:tl2br w:val="nil"/>
                    <w:tr2bl w:val="nil"/>
                  </w:tcBorders>
                  <w:noWrap w:val="0"/>
                  <w:vAlign w:val="center"/>
                </w:tcPr>
                <w:p>
                  <w:pPr>
                    <w:pStyle w:val="63"/>
                    <w:ind w:firstLine="0" w:firstLineChars="0"/>
                    <w:rPr>
                      <w:rFonts w:hint="default"/>
                      <w:color w:val="auto"/>
                      <w:highlight w:val="none"/>
                      <w:lang w:val="en-US" w:eastAsia="zh-CN"/>
                    </w:rPr>
                  </w:pPr>
                </w:p>
              </w:tc>
              <w:tc>
                <w:tcPr>
                  <w:tcW w:w="731"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lang w:val="en-US" w:eastAsia="zh-CN"/>
                    </w:rPr>
                    <w:t>治理前</w:t>
                  </w:r>
                </w:p>
              </w:tc>
              <w:tc>
                <w:tcPr>
                  <w:tcW w:w="705"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lang w:val="en-US" w:eastAsia="zh-CN"/>
                    </w:rPr>
                    <w:t>治理后</w:t>
                  </w:r>
                </w:p>
              </w:tc>
              <w:tc>
                <w:tcPr>
                  <w:tcW w:w="768" w:type="pct"/>
                  <w:vMerge w:val="continue"/>
                  <w:tcBorders>
                    <w:tl2br w:val="nil"/>
                    <w:tr2bl w:val="nil"/>
                  </w:tcBorders>
                  <w:noWrap w:val="0"/>
                  <w:vAlign w:val="center"/>
                </w:tcPr>
                <w:p>
                  <w:pPr>
                    <w:pStyle w:val="63"/>
                    <w:ind w:firstLine="0" w:firstLineChars="0"/>
                    <w:rPr>
                      <w:rFonts w:hint="default"/>
                      <w:color w:val="auto"/>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8"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rPr>
                    <w:t>1</w:t>
                  </w:r>
                </w:p>
              </w:tc>
              <w:tc>
                <w:tcPr>
                  <w:tcW w:w="1302"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数控加工中心</w:t>
                  </w:r>
                </w:p>
              </w:tc>
              <w:tc>
                <w:tcPr>
                  <w:tcW w:w="983"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10</w:t>
                  </w:r>
                </w:p>
              </w:tc>
              <w:tc>
                <w:tcPr>
                  <w:tcW w:w="731"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80</w:t>
                  </w:r>
                </w:p>
              </w:tc>
              <w:tc>
                <w:tcPr>
                  <w:tcW w:w="705"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55</w:t>
                  </w:r>
                </w:p>
              </w:tc>
              <w:tc>
                <w:tcPr>
                  <w:tcW w:w="768" w:type="pct"/>
                  <w:vMerge w:val="restar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ascii="Times New Roman" w:hAnsi="Times New Roman" w:cs="Times New Roman"/>
                      <w:color w:val="auto"/>
                      <w:sz w:val="21"/>
                      <w:szCs w:val="21"/>
                      <w:highlight w:val="none"/>
                      <w:lang w:val="en-US" w:eastAsia="zh-CN"/>
                    </w:rPr>
                    <w:t>距离衰减、厂房隔声、基础减震、加强管理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8"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default"/>
                      <w:color w:val="auto"/>
                      <w:highlight w:val="none"/>
                    </w:rPr>
                    <w:t>2</w:t>
                  </w:r>
                </w:p>
              </w:tc>
              <w:tc>
                <w:tcPr>
                  <w:tcW w:w="1302"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龙门刨铣床</w:t>
                  </w:r>
                </w:p>
              </w:tc>
              <w:tc>
                <w:tcPr>
                  <w:tcW w:w="983"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4</w:t>
                  </w:r>
                </w:p>
              </w:tc>
              <w:tc>
                <w:tcPr>
                  <w:tcW w:w="731"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80</w:t>
                  </w:r>
                </w:p>
              </w:tc>
              <w:tc>
                <w:tcPr>
                  <w:tcW w:w="705"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55</w:t>
                  </w:r>
                </w:p>
              </w:tc>
              <w:tc>
                <w:tcPr>
                  <w:tcW w:w="768" w:type="pct"/>
                  <w:vMerge w:val="continue"/>
                  <w:tcBorders>
                    <w:tl2br w:val="nil"/>
                    <w:tr2bl w:val="nil"/>
                  </w:tcBorders>
                  <w:noWrap w:val="0"/>
                  <w:vAlign w:val="center"/>
                </w:tcPr>
                <w:p>
                  <w:pPr>
                    <w:pStyle w:val="63"/>
                    <w:ind w:firstLine="0" w:firstLineChars="0"/>
                    <w:rPr>
                      <w:rFonts w:hint="default"/>
                      <w:color w:val="auto"/>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8" w:type="pct"/>
                  <w:tcBorders>
                    <w:tl2br w:val="nil"/>
                    <w:tr2bl w:val="nil"/>
                  </w:tcBorders>
                  <w:noWrap w:val="0"/>
                  <w:vAlign w:val="center"/>
                </w:tcPr>
                <w:p>
                  <w:pPr>
                    <w:pStyle w:val="63"/>
                    <w:ind w:firstLine="0" w:firstLineChars="0"/>
                    <w:rPr>
                      <w:rFonts w:hint="eastAsia" w:eastAsia="宋体"/>
                      <w:color w:val="auto"/>
                      <w:highlight w:val="none"/>
                      <w:lang w:val="en-US" w:eastAsia="zh-CN"/>
                    </w:rPr>
                  </w:pPr>
                  <w:r>
                    <w:rPr>
                      <w:rFonts w:hint="eastAsia"/>
                      <w:color w:val="auto"/>
                      <w:highlight w:val="none"/>
                      <w:lang w:val="en-US" w:eastAsia="zh-CN"/>
                    </w:rPr>
                    <w:t>3</w:t>
                  </w:r>
                </w:p>
              </w:tc>
              <w:tc>
                <w:tcPr>
                  <w:tcW w:w="1302"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螺杆空压机</w:t>
                  </w:r>
                </w:p>
              </w:tc>
              <w:tc>
                <w:tcPr>
                  <w:tcW w:w="983"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2</w:t>
                  </w:r>
                </w:p>
              </w:tc>
              <w:tc>
                <w:tcPr>
                  <w:tcW w:w="731"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90</w:t>
                  </w:r>
                </w:p>
              </w:tc>
              <w:tc>
                <w:tcPr>
                  <w:tcW w:w="705" w:type="pct"/>
                  <w:tcBorders>
                    <w:tl2br w:val="nil"/>
                    <w:tr2bl w:val="nil"/>
                  </w:tcBorders>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65</w:t>
                  </w:r>
                </w:p>
              </w:tc>
              <w:tc>
                <w:tcPr>
                  <w:tcW w:w="768" w:type="pct"/>
                  <w:vMerge w:val="continue"/>
                  <w:tcBorders>
                    <w:tl2br w:val="nil"/>
                    <w:tr2bl w:val="nil"/>
                  </w:tcBorders>
                  <w:noWrap w:val="0"/>
                  <w:vAlign w:val="center"/>
                </w:tcPr>
                <w:p>
                  <w:pPr>
                    <w:pStyle w:val="63"/>
                    <w:ind w:firstLine="0" w:firstLineChars="0"/>
                    <w:rPr>
                      <w:rFonts w:hint="default"/>
                      <w:color w:val="auto"/>
                      <w:highlight w:val="none"/>
                      <w:lang w:val="en-US" w:eastAsia="zh-CN"/>
                    </w:rPr>
                  </w:pPr>
                </w:p>
              </w:tc>
            </w:tr>
          </w:tbl>
          <w:p>
            <w:pPr>
              <w:numPr>
                <w:ilvl w:val="0"/>
                <w:numId w:val="0"/>
              </w:numPr>
              <w:spacing w:line="240" w:lineRule="auto"/>
              <w:ind w:leftChars="0"/>
              <w:jc w:val="center"/>
              <w:rPr>
                <w:rFonts w:hint="default" w:ascii="Times New Roman" w:hAnsi="Times New Roman" w:eastAsia="宋体" w:cs="Times New Roman"/>
                <w:b/>
                <w:bCs/>
                <w:color w:val="auto"/>
                <w:sz w:val="24"/>
                <w:szCs w:val="24"/>
                <w:highlight w:val="none"/>
                <w:lang w:val="en-US" w:eastAsia="zh-CN"/>
              </w:rPr>
            </w:pPr>
            <w:r>
              <w:rPr>
                <w:rFonts w:hint="eastAsia" w:cs="Times New Roman"/>
                <w:b/>
                <w:bCs/>
                <w:color w:val="auto"/>
                <w:sz w:val="24"/>
                <w:szCs w:val="24"/>
                <w:highlight w:val="none"/>
                <w:lang w:val="en-US" w:eastAsia="zh-CN"/>
              </w:rPr>
              <w:t xml:space="preserve">表4-3 </w:t>
            </w:r>
            <w:r>
              <w:rPr>
                <w:rFonts w:hint="default" w:ascii="Times New Roman" w:hAnsi="Times New Roman" w:eastAsia="宋体" w:cs="Times New Roman"/>
                <w:b/>
                <w:bCs/>
                <w:color w:val="auto"/>
                <w:sz w:val="24"/>
                <w:szCs w:val="24"/>
                <w:highlight w:val="none"/>
                <w:lang w:val="en-US" w:eastAsia="zh-CN"/>
              </w:rPr>
              <w:t>项目主要噪声污染源及污染防治措施</w:t>
            </w:r>
            <w:r>
              <w:rPr>
                <w:rFonts w:hint="eastAsia" w:cs="Times New Roman"/>
                <w:b/>
                <w:bCs/>
                <w:color w:val="auto"/>
                <w:sz w:val="24"/>
                <w:szCs w:val="24"/>
                <w:highlight w:val="none"/>
                <w:lang w:val="en-US" w:eastAsia="zh-CN"/>
              </w:rPr>
              <w:t>（室内）</w:t>
            </w:r>
          </w:p>
          <w:tbl>
            <w:tblPr>
              <w:tblStyle w:val="31"/>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93"/>
              <w:gridCol w:w="530"/>
              <w:gridCol w:w="1100"/>
              <w:gridCol w:w="725"/>
              <w:gridCol w:w="563"/>
              <w:gridCol w:w="650"/>
              <w:gridCol w:w="587"/>
              <w:gridCol w:w="688"/>
              <w:gridCol w:w="737"/>
              <w:gridCol w:w="1074"/>
              <w:gridCol w:w="702"/>
              <w:gridCol w:w="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序号</w:t>
                  </w:r>
                </w:p>
              </w:tc>
              <w:tc>
                <w:tcPr>
                  <w:tcW w:w="317"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声源名称</w:t>
                  </w:r>
                </w:p>
              </w:tc>
              <w:tc>
                <w:tcPr>
                  <w:tcW w:w="658"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空间坐标位置</w:t>
                  </w:r>
                </w:p>
              </w:tc>
              <w:tc>
                <w:tcPr>
                  <w:tcW w:w="434"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声源强dB(A)</w:t>
                  </w:r>
                </w:p>
              </w:tc>
              <w:tc>
                <w:tcPr>
                  <w:tcW w:w="337"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声源控制措施</w:t>
                  </w:r>
                </w:p>
              </w:tc>
              <w:tc>
                <w:tcPr>
                  <w:tcW w:w="389"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建筑物插入损失</w:t>
                  </w:r>
                </w:p>
              </w:tc>
              <w:tc>
                <w:tcPr>
                  <w:tcW w:w="351"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运行时段</w:t>
                  </w:r>
                </w:p>
              </w:tc>
              <w:tc>
                <w:tcPr>
                  <w:tcW w:w="411"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室内边界噪声dB(A)</w:t>
                  </w:r>
                </w:p>
              </w:tc>
              <w:tc>
                <w:tcPr>
                  <w:tcW w:w="441" w:type="pct"/>
                  <w:vMerge w:val="restar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建筑物外噪声dB(A)</w:t>
                  </w:r>
                </w:p>
              </w:tc>
              <w:tc>
                <w:tcPr>
                  <w:tcW w:w="643"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到厂界障碍物数量</w:t>
                  </w:r>
                </w:p>
              </w:tc>
              <w:tc>
                <w:tcPr>
                  <w:tcW w:w="420"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树林、灌木分布情况</w:t>
                  </w:r>
                </w:p>
              </w:tc>
              <w:tc>
                <w:tcPr>
                  <w:tcW w:w="420"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地面覆盖情况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rPr>
                  </w:pPr>
                </w:p>
              </w:tc>
              <w:tc>
                <w:tcPr>
                  <w:tcW w:w="31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rPr>
                  </w:pPr>
                </w:p>
              </w:tc>
              <w:tc>
                <w:tcPr>
                  <w:tcW w:w="658"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X，Y，Z</w:t>
                  </w:r>
                </w:p>
              </w:tc>
              <w:tc>
                <w:tcPr>
                  <w:tcW w:w="434"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41" w:type="pct"/>
                  <w:vMerge w:val="continue"/>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p>
              </w:tc>
              <w:tc>
                <w:tcPr>
                  <w:tcW w:w="643"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w:t>
                  </w:r>
                </w:p>
              </w:tc>
              <w:tc>
                <w:tcPr>
                  <w:tcW w:w="317" w:type="pct"/>
                  <w:vMerge w:val="restart"/>
                  <w:tcBorders>
                    <w:tl2br w:val="nil"/>
                    <w:tr2bl w:val="nil"/>
                  </w:tcBorders>
                  <w:noWrap w:val="0"/>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color w:val="auto"/>
                      <w:highlight w:val="none"/>
                      <w:lang w:val="en-US" w:eastAsia="zh-CN"/>
                    </w:rPr>
                    <w:t>数控加工中心</w:t>
                  </w: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-13.12,13.38,1</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w:t>
                  </w:r>
                </w:p>
              </w:tc>
              <w:tc>
                <w:tcPr>
                  <w:tcW w:w="337"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建筑隔声、基础减震</w:t>
                  </w:r>
                </w:p>
              </w:tc>
              <w:tc>
                <w:tcPr>
                  <w:tcW w:w="389"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w:t>
                  </w:r>
                  <w:r>
                    <w:rPr>
                      <w:rFonts w:hint="default" w:ascii="Times New Roman" w:hAnsi="Times New Roman" w:cs="Times New Roman"/>
                      <w:color w:val="auto"/>
                      <w:sz w:val="21"/>
                      <w:szCs w:val="21"/>
                      <w:highlight w:val="none"/>
                      <w:lang w:val="en-US" w:eastAsia="zh-CN"/>
                    </w:rPr>
                    <w:t>0</w:t>
                  </w:r>
                  <w:r>
                    <w:rPr>
                      <w:rFonts w:hint="default" w:ascii="Times New Roman" w:hAnsi="Times New Roman" w:eastAsia="宋体" w:cs="Times New Roman"/>
                      <w:color w:val="auto"/>
                      <w:sz w:val="21"/>
                      <w:szCs w:val="21"/>
                      <w:highlight w:val="none"/>
                      <w:lang w:val="en-US" w:eastAsia="zh-CN"/>
                    </w:rPr>
                    <w:t>dB(A)</w:t>
                  </w:r>
                </w:p>
              </w:tc>
              <w:tc>
                <w:tcPr>
                  <w:tcW w:w="351"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昼间运行</w:t>
                  </w: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75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北侧</w:t>
                  </w:r>
                  <w:r>
                    <w:rPr>
                      <w:rFonts w:hint="eastAsia" w:cs="Times New Roman"/>
                      <w:color w:val="auto"/>
                      <w:sz w:val="21"/>
                      <w:szCs w:val="21"/>
                      <w:highlight w:val="none"/>
                      <w:lang w:val="en-US" w:eastAsia="zh-CN"/>
                    </w:rPr>
                    <w:t>3</w:t>
                  </w:r>
                  <w:r>
                    <w:rPr>
                      <w:rFonts w:hint="default" w:ascii="Times New Roman" w:hAnsi="Times New Roman" w:cs="Times New Roman"/>
                      <w:color w:val="auto"/>
                      <w:sz w:val="21"/>
                      <w:szCs w:val="21"/>
                      <w:highlight w:val="none"/>
                      <w:lang w:val="en-US" w:eastAsia="zh-CN"/>
                    </w:rPr>
                    <w:t>面隔声墙</w:t>
                  </w:r>
                  <w:r>
                    <w:rPr>
                      <w:rFonts w:hint="default" w:ascii="Times New Roman" w:hAnsi="Times New Roman" w:eastAsia="宋体" w:cs="Times New Roman"/>
                      <w:color w:val="auto"/>
                      <w:sz w:val="21"/>
                      <w:szCs w:val="21"/>
                      <w:highlight w:val="none"/>
                      <w:lang w:val="en-US" w:eastAsia="zh-CN"/>
                    </w:rPr>
                    <w:t>、东侧</w:t>
                  </w:r>
                  <w:r>
                    <w:rPr>
                      <w:rFonts w:hint="default" w:ascii="Times New Roman" w:hAnsi="Times New Roman" w:cs="Times New Roman"/>
                      <w:color w:val="auto"/>
                      <w:sz w:val="21"/>
                      <w:szCs w:val="21"/>
                      <w:highlight w:val="none"/>
                      <w:lang w:val="en-US" w:eastAsia="zh-CN"/>
                    </w:rPr>
                    <w:t>一面</w:t>
                  </w:r>
                  <w:r>
                    <w:rPr>
                      <w:rFonts w:hint="default" w:ascii="Times New Roman" w:hAnsi="Times New Roman" w:eastAsia="宋体" w:cs="Times New Roman"/>
                      <w:color w:val="auto"/>
                      <w:sz w:val="21"/>
                      <w:szCs w:val="21"/>
                      <w:highlight w:val="none"/>
                      <w:lang w:val="en-US" w:eastAsia="zh-CN"/>
                    </w:rPr>
                    <w:t>墙、西侧</w:t>
                  </w:r>
                  <w:r>
                    <w:rPr>
                      <w:rFonts w:hint="eastAsia" w:cs="Times New Roman"/>
                      <w:color w:val="auto"/>
                      <w:sz w:val="21"/>
                      <w:szCs w:val="21"/>
                      <w:highlight w:val="none"/>
                      <w:lang w:val="en-US" w:eastAsia="zh-CN"/>
                    </w:rPr>
                    <w:t>一</w:t>
                  </w:r>
                  <w:r>
                    <w:rPr>
                      <w:rFonts w:hint="default" w:ascii="Times New Roman" w:hAnsi="Times New Roman" w:cs="Times New Roman"/>
                      <w:color w:val="auto"/>
                      <w:sz w:val="21"/>
                      <w:szCs w:val="21"/>
                      <w:highlight w:val="none"/>
                      <w:lang w:val="en-US" w:eastAsia="zh-CN"/>
                    </w:rPr>
                    <w:t>面隔声墙</w:t>
                  </w:r>
                  <w:r>
                    <w:rPr>
                      <w:rFonts w:hint="default" w:ascii="Times New Roman" w:hAnsi="Times New Roman" w:eastAsia="宋体" w:cs="Times New Roman"/>
                      <w:color w:val="auto"/>
                      <w:sz w:val="21"/>
                      <w:szCs w:val="21"/>
                      <w:highlight w:val="none"/>
                      <w:lang w:val="en-US" w:eastAsia="zh-CN"/>
                    </w:rPr>
                    <w:t>、南侧</w:t>
                  </w:r>
                  <w:r>
                    <w:rPr>
                      <w:rFonts w:hint="eastAsia" w:cs="Times New Roman"/>
                      <w:color w:val="auto"/>
                      <w:sz w:val="21"/>
                      <w:szCs w:val="21"/>
                      <w:highlight w:val="none"/>
                      <w:lang w:val="en-US" w:eastAsia="zh-CN"/>
                    </w:rPr>
                    <w:t>3</w:t>
                  </w:r>
                  <w:r>
                    <w:rPr>
                      <w:rFonts w:hint="default" w:ascii="Times New Roman" w:hAnsi="Times New Roman" w:cs="Times New Roman"/>
                      <w:color w:val="auto"/>
                      <w:sz w:val="21"/>
                      <w:szCs w:val="21"/>
                      <w:highlight w:val="none"/>
                      <w:lang w:val="en-US" w:eastAsia="zh-CN"/>
                    </w:rPr>
                    <w:t>面隔声墙</w:t>
                  </w:r>
                </w:p>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场内道路旁布置绿化带，种植低矮灌木</w:t>
                  </w:r>
                </w:p>
              </w:tc>
              <w:tc>
                <w:tcPr>
                  <w:tcW w:w="420"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地面硬化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w:t>
                  </w:r>
                </w:p>
              </w:tc>
              <w:tc>
                <w:tcPr>
                  <w:tcW w:w="317" w:type="pct"/>
                  <w:vMerge w:val="continue"/>
                  <w:tcBorders>
                    <w:tl2br w:val="nil"/>
                    <w:tr2bl w:val="nil"/>
                  </w:tcBorders>
                  <w:noWrap w:val="0"/>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-10.08,15.01,1</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w:t>
                  </w: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7</w:t>
                  </w:r>
                  <w:r>
                    <w:rPr>
                      <w:rFonts w:hint="eastAsia" w:ascii="Times New Roman" w:hAnsi="Times New Roman" w:cs="Times New Roman"/>
                      <w:color w:val="auto"/>
                      <w:highlight w:val="none"/>
                      <w:lang w:val="en-US" w:eastAsia="zh-CN"/>
                    </w:rPr>
                    <w:t>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w:t>
                  </w:r>
                </w:p>
              </w:tc>
              <w:tc>
                <w:tcPr>
                  <w:tcW w:w="317" w:type="pct"/>
                  <w:vMerge w:val="continue"/>
                  <w:tcBorders>
                    <w:tl2br w:val="nil"/>
                    <w:tr2bl w:val="nil"/>
                  </w:tcBorders>
                  <w:noWrap w:val="0"/>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-7.15,16.31,1</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w:t>
                  </w: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75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w:t>
                  </w:r>
                </w:p>
              </w:tc>
              <w:tc>
                <w:tcPr>
                  <w:tcW w:w="317" w:type="pct"/>
                  <w:vMerge w:val="continue"/>
                  <w:tcBorders>
                    <w:tl2br w:val="nil"/>
                    <w:tr2bl w:val="nil"/>
                  </w:tcBorders>
                  <w:noWrap w:val="0"/>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-4.1,17.72,1</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w:t>
                  </w: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7</w:t>
                  </w:r>
                  <w:r>
                    <w:rPr>
                      <w:rFonts w:hint="eastAsia" w:ascii="Times New Roman" w:hAnsi="Times New Roman" w:cs="Times New Roman"/>
                      <w:color w:val="auto"/>
                      <w:highlight w:val="none"/>
                      <w:lang w:val="en-US" w:eastAsia="zh-CN"/>
                    </w:rPr>
                    <w:t>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w:t>
                  </w:r>
                </w:p>
              </w:tc>
              <w:tc>
                <w:tcPr>
                  <w:tcW w:w="317" w:type="pct"/>
                  <w:vMerge w:val="continue"/>
                  <w:tcBorders>
                    <w:tl2br w:val="nil"/>
                    <w:tr2bl w:val="nil"/>
                  </w:tcBorders>
                  <w:noWrap w:val="0"/>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-1.39,19.57,1</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w:t>
                  </w: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75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6</w:t>
                  </w:r>
                </w:p>
              </w:tc>
              <w:tc>
                <w:tcPr>
                  <w:tcW w:w="317" w:type="pct"/>
                  <w:vMerge w:val="continue"/>
                  <w:tcBorders>
                    <w:tl2br w:val="nil"/>
                    <w:tr2bl w:val="nil"/>
                  </w:tcBorders>
                  <w:noWrap w:val="0"/>
                  <w:vAlign w:val="center"/>
                </w:tcPr>
                <w:p>
                  <w:pPr>
                    <w:pStyle w:val="63"/>
                    <w:ind w:firstLine="0" w:firstLineChars="0"/>
                    <w:rPr>
                      <w:rFonts w:hint="default" w:ascii="Times New Roman" w:hAnsi="Times New Roman" w:cs="Times New Roman"/>
                      <w:color w:val="auto"/>
                      <w:highlight w:val="none"/>
                      <w:lang w:val="en-US" w:eastAsia="zh-CN"/>
                    </w:rPr>
                  </w:pP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-8.99,9.36,1</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w:t>
                  </w: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7</w:t>
                  </w:r>
                  <w:r>
                    <w:rPr>
                      <w:rFonts w:hint="eastAsia" w:ascii="Times New Roman" w:hAnsi="Times New Roman" w:cs="Times New Roman"/>
                      <w:color w:val="auto"/>
                      <w:highlight w:val="none"/>
                      <w:lang w:val="en-US" w:eastAsia="zh-CN"/>
                    </w:rPr>
                    <w:t>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w:t>
                  </w:r>
                </w:p>
              </w:tc>
              <w:tc>
                <w:tcPr>
                  <w:tcW w:w="317" w:type="pct"/>
                  <w:vMerge w:val="continue"/>
                  <w:tcBorders>
                    <w:tl2br w:val="nil"/>
                    <w:tr2bl w:val="nil"/>
                  </w:tcBorders>
                  <w:noWrap w:val="0"/>
                  <w:vAlign w:val="center"/>
                </w:tcPr>
                <w:p>
                  <w:pPr>
                    <w:pStyle w:val="63"/>
                    <w:ind w:firstLine="0" w:firstLineChars="0"/>
                    <w:rPr>
                      <w:rFonts w:hint="default" w:ascii="Times New Roman" w:hAnsi="Times New Roman" w:cs="Times New Roman"/>
                      <w:color w:val="auto"/>
                      <w:highlight w:val="none"/>
                      <w:lang w:val="en-US" w:eastAsia="zh-CN"/>
                    </w:rPr>
                  </w:pP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-6.93,10.55,1</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w:t>
                  </w: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75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w:t>
                  </w:r>
                </w:p>
              </w:tc>
              <w:tc>
                <w:tcPr>
                  <w:tcW w:w="317" w:type="pct"/>
                  <w:vMerge w:val="continue"/>
                  <w:tcBorders>
                    <w:tl2br w:val="nil"/>
                    <w:tr2bl w:val="nil"/>
                  </w:tcBorders>
                  <w:noWrap w:val="0"/>
                  <w:vAlign w:val="center"/>
                </w:tcPr>
                <w:p>
                  <w:pPr>
                    <w:pStyle w:val="63"/>
                    <w:ind w:firstLine="0" w:firstLineChars="0"/>
                    <w:rPr>
                      <w:rFonts w:hint="default" w:ascii="Times New Roman" w:hAnsi="Times New Roman" w:cs="Times New Roman"/>
                      <w:color w:val="auto"/>
                      <w:highlight w:val="none"/>
                      <w:lang w:val="en-US" w:eastAsia="zh-CN"/>
                    </w:rPr>
                  </w:pP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-4.43,12.07,1</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w:t>
                  </w: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7</w:t>
                  </w:r>
                  <w:r>
                    <w:rPr>
                      <w:rFonts w:hint="eastAsia" w:ascii="Times New Roman" w:hAnsi="Times New Roman" w:cs="Times New Roman"/>
                      <w:color w:val="auto"/>
                      <w:highlight w:val="none"/>
                      <w:lang w:val="en-US" w:eastAsia="zh-CN"/>
                    </w:rPr>
                    <w:t>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w:t>
                  </w:r>
                </w:p>
              </w:tc>
              <w:tc>
                <w:tcPr>
                  <w:tcW w:w="317" w:type="pct"/>
                  <w:vMerge w:val="continue"/>
                  <w:tcBorders>
                    <w:tl2br w:val="nil"/>
                    <w:tr2bl w:val="nil"/>
                  </w:tcBorders>
                  <w:noWrap w:val="0"/>
                  <w:vAlign w:val="center"/>
                </w:tcPr>
                <w:p>
                  <w:pPr>
                    <w:pStyle w:val="63"/>
                    <w:ind w:firstLine="0" w:firstLineChars="0"/>
                    <w:rPr>
                      <w:rFonts w:hint="default" w:ascii="Times New Roman" w:hAnsi="Times New Roman" w:cs="Times New Roman"/>
                      <w:color w:val="auto"/>
                      <w:highlight w:val="none"/>
                      <w:lang w:val="en-US" w:eastAsia="zh-CN"/>
                    </w:rPr>
                  </w:pP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-1.93,13.49,1</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w:t>
                  </w: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75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w:t>
                  </w:r>
                </w:p>
              </w:tc>
              <w:tc>
                <w:tcPr>
                  <w:tcW w:w="317" w:type="pct"/>
                  <w:vMerge w:val="continue"/>
                  <w:tcBorders>
                    <w:tl2br w:val="nil"/>
                    <w:tr2bl w:val="nil"/>
                  </w:tcBorders>
                  <w:noWrap w:val="0"/>
                  <w:vAlign w:val="center"/>
                </w:tcPr>
                <w:p>
                  <w:pPr>
                    <w:pStyle w:val="63"/>
                    <w:ind w:firstLine="0" w:firstLineChars="0"/>
                    <w:rPr>
                      <w:rFonts w:hint="default" w:ascii="Times New Roman" w:hAnsi="Times New Roman" w:cs="Times New Roman"/>
                      <w:color w:val="auto"/>
                      <w:highlight w:val="none"/>
                      <w:lang w:val="en-US" w:eastAsia="zh-CN"/>
                    </w:rPr>
                  </w:pP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1.33,14.79,1</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w:t>
                  </w: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7</w:t>
                  </w:r>
                  <w:r>
                    <w:rPr>
                      <w:rFonts w:hint="eastAsia" w:ascii="Times New Roman" w:hAnsi="Times New Roman" w:cs="Times New Roman"/>
                      <w:color w:val="auto"/>
                      <w:highlight w:val="none"/>
                      <w:lang w:val="en-US" w:eastAsia="zh-CN"/>
                    </w:rPr>
                    <w:t>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11</w:t>
                  </w:r>
                </w:p>
              </w:tc>
              <w:tc>
                <w:tcPr>
                  <w:tcW w:w="317" w:type="pct"/>
                  <w:vMerge w:val="restart"/>
                  <w:tcBorders>
                    <w:tl2br w:val="nil"/>
                    <w:tr2bl w:val="nil"/>
                  </w:tcBorders>
                  <w:noWrap w:val="0"/>
                  <w:vAlign w:val="center"/>
                </w:tcPr>
                <w:p>
                  <w:pPr>
                    <w:pStyle w:val="63"/>
                    <w:ind w:firstLine="0" w:firstLineChars="0"/>
                    <w:rPr>
                      <w:rFonts w:hint="default" w:ascii="Times New Roman" w:hAnsi="Times New Roman" w:cs="Times New Roman"/>
                      <w:color w:val="auto"/>
                      <w:highlight w:val="none"/>
                      <w:lang w:val="en-US" w:eastAsia="zh-CN"/>
                    </w:rPr>
                  </w:pPr>
                  <w:r>
                    <w:rPr>
                      <w:rFonts w:hint="eastAsia"/>
                      <w:color w:val="auto"/>
                      <w:highlight w:val="none"/>
                      <w:lang w:val="en-US" w:eastAsia="zh-CN"/>
                    </w:rPr>
                    <w:t>龙门刨铣床</w:t>
                  </w: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-18.12,31.52,</w:t>
                  </w:r>
                  <w:r>
                    <w:rPr>
                      <w:rFonts w:hint="eastAsia" w:ascii="Times New Roman" w:hAnsi="Times New Roman" w:cs="Times New Roman"/>
                      <w:color w:val="auto"/>
                      <w:highlight w:val="none"/>
                      <w:lang w:val="en-US" w:eastAsia="zh-CN"/>
                    </w:rPr>
                    <w:t>0.5</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w:t>
                  </w: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75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restar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北侧</w:t>
                  </w:r>
                  <w:r>
                    <w:rPr>
                      <w:rFonts w:hint="eastAsia" w:cs="Times New Roman"/>
                      <w:color w:val="auto"/>
                      <w:sz w:val="21"/>
                      <w:szCs w:val="21"/>
                      <w:highlight w:val="none"/>
                      <w:lang w:val="en-US" w:eastAsia="zh-CN"/>
                    </w:rPr>
                    <w:t>1</w:t>
                  </w:r>
                  <w:r>
                    <w:rPr>
                      <w:rFonts w:hint="default" w:ascii="Times New Roman" w:hAnsi="Times New Roman" w:cs="Times New Roman"/>
                      <w:color w:val="auto"/>
                      <w:sz w:val="21"/>
                      <w:szCs w:val="21"/>
                      <w:highlight w:val="none"/>
                      <w:lang w:val="en-US" w:eastAsia="zh-CN"/>
                    </w:rPr>
                    <w:t>面隔声墙</w:t>
                  </w:r>
                  <w:r>
                    <w:rPr>
                      <w:rFonts w:hint="default" w:ascii="Times New Roman" w:hAnsi="Times New Roman" w:eastAsia="宋体" w:cs="Times New Roman"/>
                      <w:color w:val="auto"/>
                      <w:sz w:val="21"/>
                      <w:szCs w:val="21"/>
                      <w:highlight w:val="none"/>
                      <w:lang w:val="en-US" w:eastAsia="zh-CN"/>
                    </w:rPr>
                    <w:t>、东侧</w:t>
                  </w:r>
                  <w:r>
                    <w:rPr>
                      <w:rFonts w:hint="default" w:ascii="Times New Roman" w:hAnsi="Times New Roman" w:cs="Times New Roman"/>
                      <w:color w:val="auto"/>
                      <w:sz w:val="21"/>
                      <w:szCs w:val="21"/>
                      <w:highlight w:val="none"/>
                      <w:lang w:val="en-US" w:eastAsia="zh-CN"/>
                    </w:rPr>
                    <w:t>一面</w:t>
                  </w:r>
                  <w:r>
                    <w:rPr>
                      <w:rFonts w:hint="default" w:ascii="Times New Roman" w:hAnsi="Times New Roman" w:eastAsia="宋体" w:cs="Times New Roman"/>
                      <w:color w:val="auto"/>
                      <w:sz w:val="21"/>
                      <w:szCs w:val="21"/>
                      <w:highlight w:val="none"/>
                      <w:lang w:val="en-US" w:eastAsia="zh-CN"/>
                    </w:rPr>
                    <w:t>墙、西侧</w:t>
                  </w:r>
                  <w:r>
                    <w:rPr>
                      <w:rFonts w:hint="eastAsia" w:cs="Times New Roman"/>
                      <w:color w:val="auto"/>
                      <w:sz w:val="21"/>
                      <w:szCs w:val="21"/>
                      <w:highlight w:val="none"/>
                      <w:lang w:val="en-US" w:eastAsia="zh-CN"/>
                    </w:rPr>
                    <w:t>一</w:t>
                  </w:r>
                  <w:r>
                    <w:rPr>
                      <w:rFonts w:hint="default" w:ascii="Times New Roman" w:hAnsi="Times New Roman" w:cs="Times New Roman"/>
                      <w:color w:val="auto"/>
                      <w:sz w:val="21"/>
                      <w:szCs w:val="21"/>
                      <w:highlight w:val="none"/>
                      <w:lang w:val="en-US" w:eastAsia="zh-CN"/>
                    </w:rPr>
                    <w:t>面隔声墙</w:t>
                  </w:r>
                  <w:r>
                    <w:rPr>
                      <w:rFonts w:hint="default" w:ascii="Times New Roman" w:hAnsi="Times New Roman" w:eastAsia="宋体" w:cs="Times New Roman"/>
                      <w:color w:val="auto"/>
                      <w:sz w:val="21"/>
                      <w:szCs w:val="21"/>
                      <w:highlight w:val="none"/>
                      <w:lang w:val="en-US" w:eastAsia="zh-CN"/>
                    </w:rPr>
                    <w:t>、南侧</w:t>
                  </w:r>
                  <w:r>
                    <w:rPr>
                      <w:rFonts w:hint="eastAsia" w:cs="Times New Roman"/>
                      <w:color w:val="auto"/>
                      <w:sz w:val="21"/>
                      <w:szCs w:val="21"/>
                      <w:highlight w:val="none"/>
                      <w:lang w:val="en-US" w:eastAsia="zh-CN"/>
                    </w:rPr>
                    <w:t>5</w:t>
                  </w:r>
                  <w:r>
                    <w:rPr>
                      <w:rFonts w:hint="default" w:ascii="Times New Roman" w:hAnsi="Times New Roman" w:cs="Times New Roman"/>
                      <w:color w:val="auto"/>
                      <w:sz w:val="21"/>
                      <w:szCs w:val="21"/>
                      <w:highlight w:val="none"/>
                      <w:lang w:val="en-US" w:eastAsia="zh-CN"/>
                    </w:rPr>
                    <w:t>面隔声墙</w:t>
                  </w: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12</w:t>
                  </w:r>
                </w:p>
              </w:tc>
              <w:tc>
                <w:tcPr>
                  <w:tcW w:w="317" w:type="pct"/>
                  <w:vMerge w:val="continue"/>
                  <w:tcBorders>
                    <w:tl2br w:val="nil"/>
                    <w:tr2bl w:val="nil"/>
                  </w:tcBorders>
                  <w:noWrap w:val="0"/>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-12.69,34.78,</w:t>
                  </w:r>
                  <w:r>
                    <w:rPr>
                      <w:rFonts w:hint="eastAsia" w:ascii="Times New Roman" w:hAnsi="Times New Roman" w:cs="Times New Roman"/>
                      <w:color w:val="auto"/>
                      <w:highlight w:val="none"/>
                      <w:lang w:val="en-US" w:eastAsia="zh-CN"/>
                    </w:rPr>
                    <w:t>0.5</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w:t>
                  </w: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7</w:t>
                  </w:r>
                  <w:r>
                    <w:rPr>
                      <w:rFonts w:hint="eastAsia" w:ascii="Times New Roman" w:hAnsi="Times New Roman" w:cs="Times New Roman"/>
                      <w:color w:val="auto"/>
                      <w:highlight w:val="none"/>
                      <w:lang w:val="en-US" w:eastAsia="zh-CN"/>
                    </w:rPr>
                    <w:t>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13</w:t>
                  </w:r>
                </w:p>
              </w:tc>
              <w:tc>
                <w:tcPr>
                  <w:tcW w:w="317" w:type="pct"/>
                  <w:vMerge w:val="continue"/>
                  <w:tcBorders>
                    <w:tl2br w:val="nil"/>
                    <w:tr2bl w:val="nil"/>
                  </w:tcBorders>
                  <w:noWrap w:val="0"/>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-15.51,25.22,</w:t>
                  </w:r>
                  <w:r>
                    <w:rPr>
                      <w:rFonts w:hint="eastAsia" w:ascii="Times New Roman" w:hAnsi="Times New Roman" w:cs="Times New Roman"/>
                      <w:color w:val="auto"/>
                      <w:highlight w:val="none"/>
                      <w:lang w:val="en-US" w:eastAsia="zh-CN"/>
                    </w:rPr>
                    <w:t>0.5</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w:t>
                  </w: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75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5" w:type="pct"/>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14</w:t>
                  </w:r>
                </w:p>
              </w:tc>
              <w:tc>
                <w:tcPr>
                  <w:tcW w:w="317" w:type="pct"/>
                  <w:vMerge w:val="continue"/>
                  <w:tcBorders>
                    <w:tl2br w:val="nil"/>
                    <w:tr2bl w:val="nil"/>
                  </w:tcBorders>
                  <w:noWrap w:val="0"/>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658"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-9.43,27.61,</w:t>
                  </w:r>
                  <w:r>
                    <w:rPr>
                      <w:rFonts w:hint="eastAsia" w:ascii="Times New Roman" w:hAnsi="Times New Roman" w:cs="Times New Roman"/>
                      <w:color w:val="auto"/>
                      <w:highlight w:val="none"/>
                      <w:lang w:val="en-US" w:eastAsia="zh-CN"/>
                    </w:rPr>
                    <w:t>0.5</w:t>
                  </w:r>
                </w:p>
              </w:tc>
              <w:tc>
                <w:tcPr>
                  <w:tcW w:w="434"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80</w:t>
                  </w:r>
                </w:p>
              </w:tc>
              <w:tc>
                <w:tcPr>
                  <w:tcW w:w="337"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89"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351"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1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7</w:t>
                  </w:r>
                  <w:r>
                    <w:rPr>
                      <w:rFonts w:hint="eastAsia" w:ascii="Times New Roman" w:hAnsi="Times New Roman" w:eastAsia="宋体" w:cs="Times New Roman"/>
                      <w:color w:val="auto"/>
                      <w:highlight w:val="none"/>
                      <w:lang w:val="en-US" w:eastAsia="zh-CN"/>
                    </w:rPr>
                    <w:t>5</w:t>
                  </w:r>
                </w:p>
              </w:tc>
              <w:tc>
                <w:tcPr>
                  <w:tcW w:w="441" w:type="pct"/>
                  <w:tcBorders>
                    <w:tl2br w:val="nil"/>
                    <w:tr2bl w:val="nil"/>
                  </w:tcBorders>
                  <w:noWrap w:val="0"/>
                  <w:vAlign w:val="center"/>
                </w:tcPr>
                <w:p>
                  <w:pPr>
                    <w:pStyle w:val="63"/>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55</w:t>
                  </w:r>
                </w:p>
              </w:tc>
              <w:tc>
                <w:tcPr>
                  <w:tcW w:w="643"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c>
                <w:tcPr>
                  <w:tcW w:w="420" w:type="pct"/>
                  <w:vMerge w:val="continue"/>
                  <w:tcBorders>
                    <w:tl2br w:val="nil"/>
                    <w:tr2bl w:val="nil"/>
                  </w:tcBorders>
                  <w:noWrap w:val="0"/>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bl>
          <w:p>
            <w:pPr>
              <w:keepNext w:val="0"/>
              <w:keepLines w:val="0"/>
              <w:pageBreakBefore w:val="0"/>
              <w:widowControl w:val="0"/>
              <w:numPr>
                <w:ilvl w:val="0"/>
                <w:numId w:val="0"/>
              </w:numPr>
              <w:kinsoku/>
              <w:wordWrap/>
              <w:overflowPunct/>
              <w:topLinePunct w:val="0"/>
              <w:bidi w:val="0"/>
              <w:spacing w:line="240" w:lineRule="auto"/>
              <w:ind w:leftChars="0" w:firstLine="0" w:firstLineChars="0"/>
              <w:jc w:val="center"/>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4"/>
                <w:szCs w:val="24"/>
                <w:highlight w:val="none"/>
                <w:lang w:val="en-US" w:eastAsia="zh-CN"/>
              </w:rPr>
              <w:t>表</w:t>
            </w:r>
            <w:r>
              <w:rPr>
                <w:rFonts w:hint="eastAsia" w:ascii="Times New Roman" w:hAnsi="Times New Roman" w:eastAsia="宋体" w:cs="Times New Roman"/>
                <w:b/>
                <w:bCs/>
                <w:color w:val="auto"/>
                <w:sz w:val="24"/>
                <w:szCs w:val="24"/>
                <w:highlight w:val="none"/>
                <w:lang w:val="en-US" w:eastAsia="zh-CN"/>
              </w:rPr>
              <w:t>4-</w:t>
            </w:r>
            <w:r>
              <w:rPr>
                <w:rFonts w:hint="eastAsia" w:cs="Times New Roman"/>
                <w:b/>
                <w:bCs/>
                <w:color w:val="auto"/>
                <w:sz w:val="24"/>
                <w:szCs w:val="24"/>
                <w:highlight w:val="none"/>
                <w:lang w:val="en-US" w:eastAsia="zh-CN"/>
              </w:rPr>
              <w:t>4</w:t>
            </w:r>
            <w:r>
              <w:rPr>
                <w:rFonts w:hint="default" w:ascii="Times New Roman" w:hAnsi="Times New Roman" w:eastAsia="宋体" w:cs="Times New Roman"/>
                <w:b/>
                <w:bCs/>
                <w:color w:val="auto"/>
                <w:sz w:val="24"/>
                <w:szCs w:val="24"/>
                <w:highlight w:val="none"/>
                <w:lang w:val="en-US" w:eastAsia="zh-CN"/>
              </w:rPr>
              <w:t xml:space="preserve">  主要设备噪声源</w:t>
            </w:r>
            <w:r>
              <w:rPr>
                <w:rFonts w:hint="eastAsia" w:ascii="Times New Roman" w:hAnsi="Times New Roman" w:eastAsia="宋体" w:cs="Times New Roman"/>
                <w:b/>
                <w:bCs/>
                <w:color w:val="auto"/>
                <w:sz w:val="24"/>
                <w:szCs w:val="24"/>
                <w:highlight w:val="none"/>
                <w:lang w:val="en-US" w:eastAsia="zh-CN"/>
              </w:rPr>
              <w:t>数据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6"/>
              <w:gridCol w:w="772"/>
              <w:gridCol w:w="757"/>
              <w:gridCol w:w="670"/>
              <w:gridCol w:w="848"/>
              <w:gridCol w:w="670"/>
              <w:gridCol w:w="900"/>
              <w:gridCol w:w="1142"/>
              <w:gridCol w:w="853"/>
              <w:gridCol w:w="736"/>
              <w:gridCol w:w="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5" w:type="pct"/>
                  <w:noWrap/>
                  <w:vAlign w:val="center"/>
                </w:tcPr>
                <w:p>
                  <w:pPr>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baseline"/>
                    <w:rPr>
                      <w:rFonts w:hint="default" w:ascii="Times New Roman" w:hAnsi="Times New Roman" w:eastAsia="宋体" w:cs="Times New Roman"/>
                      <w:b w:val="0"/>
                      <w:bCs/>
                      <w:color w:val="auto"/>
                      <w:kern w:val="0"/>
                      <w:sz w:val="21"/>
                      <w:szCs w:val="21"/>
                      <w:highlight w:val="none"/>
                      <w:lang w:val="en-US" w:eastAsia="zh-CN" w:bidi="ar-SA"/>
                    </w:rPr>
                  </w:pPr>
                  <w:r>
                    <w:rPr>
                      <w:rFonts w:hint="default" w:ascii="Times New Roman" w:hAnsi="Times New Roman" w:eastAsia="宋体" w:cs="Times New Roman"/>
                      <w:b w:val="0"/>
                      <w:bCs/>
                      <w:color w:val="auto"/>
                      <w:kern w:val="0"/>
                      <w:sz w:val="21"/>
                      <w:szCs w:val="21"/>
                      <w:highlight w:val="none"/>
                      <w:lang w:val="zh-CN" w:eastAsia="zh-CN" w:bidi="ar-SA"/>
                    </w:rPr>
                    <w:t>序号</w:t>
                  </w:r>
                </w:p>
              </w:tc>
              <w:tc>
                <w:tcPr>
                  <w:tcW w:w="462" w:type="pct"/>
                  <w:noWrap/>
                  <w:vAlign w:val="center"/>
                </w:tcPr>
                <w:p>
                  <w:pPr>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baseline"/>
                    <w:rPr>
                      <w:rFonts w:hint="default" w:ascii="Times New Roman" w:hAnsi="Times New Roman" w:eastAsia="宋体" w:cs="Times New Roman"/>
                      <w:b w:val="0"/>
                      <w:bCs/>
                      <w:color w:val="auto"/>
                      <w:kern w:val="0"/>
                      <w:sz w:val="21"/>
                      <w:szCs w:val="21"/>
                      <w:highlight w:val="none"/>
                      <w:lang w:val="en-US" w:eastAsia="zh-CN" w:bidi="ar-SA"/>
                    </w:rPr>
                  </w:pPr>
                  <w:r>
                    <w:rPr>
                      <w:rFonts w:hint="default" w:ascii="Times New Roman" w:hAnsi="Times New Roman" w:eastAsia="宋体" w:cs="Times New Roman"/>
                      <w:b w:val="0"/>
                      <w:bCs/>
                      <w:color w:val="auto"/>
                      <w:kern w:val="0"/>
                      <w:sz w:val="21"/>
                      <w:szCs w:val="21"/>
                      <w:highlight w:val="none"/>
                      <w:lang w:val="zh-CN" w:eastAsia="zh-CN" w:bidi="ar-SA"/>
                    </w:rPr>
                    <w:t>名称</w:t>
                  </w:r>
                </w:p>
              </w:tc>
              <w:tc>
                <w:tcPr>
                  <w:tcW w:w="453" w:type="pct"/>
                  <w:noWrap/>
                  <w:vAlign w:val="center"/>
                </w:tcPr>
                <w:p>
                  <w:pPr>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baseline"/>
                    <w:rPr>
                      <w:rFonts w:hint="default" w:ascii="Times New Roman" w:hAnsi="Times New Roman" w:eastAsia="宋体" w:cs="Times New Roman"/>
                      <w:b w:val="0"/>
                      <w:bCs/>
                      <w:color w:val="auto"/>
                      <w:kern w:val="0"/>
                      <w:sz w:val="21"/>
                      <w:szCs w:val="21"/>
                      <w:highlight w:val="none"/>
                      <w:lang w:val="en-US" w:eastAsia="zh-CN" w:bidi="ar-SA"/>
                    </w:rPr>
                  </w:pPr>
                  <w:r>
                    <w:rPr>
                      <w:rFonts w:hint="default" w:ascii="Times New Roman" w:hAnsi="Times New Roman" w:eastAsia="宋体" w:cs="Times New Roman"/>
                      <w:b w:val="0"/>
                      <w:bCs/>
                      <w:color w:val="auto"/>
                      <w:kern w:val="0"/>
                      <w:sz w:val="21"/>
                      <w:szCs w:val="21"/>
                      <w:highlight w:val="none"/>
                      <w:lang w:val="en-US" w:eastAsia="zh-CN" w:bidi="ar-SA"/>
                    </w:rPr>
                    <w:t>噪声源强dB(A)</w:t>
                  </w:r>
                </w:p>
              </w:tc>
              <w:tc>
                <w:tcPr>
                  <w:tcW w:w="401" w:type="pct"/>
                  <w:noWrap/>
                  <w:vAlign w:val="center"/>
                </w:tcPr>
                <w:p>
                  <w:pPr>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baseline"/>
                    <w:rPr>
                      <w:rFonts w:hint="default" w:ascii="Times New Roman" w:hAnsi="Times New Roman" w:eastAsia="宋体" w:cs="Times New Roman"/>
                      <w:b w:val="0"/>
                      <w:bCs/>
                      <w:color w:val="auto"/>
                      <w:kern w:val="0"/>
                      <w:sz w:val="21"/>
                      <w:szCs w:val="21"/>
                      <w:highlight w:val="none"/>
                      <w:lang w:val="en-US" w:eastAsia="zh-CN" w:bidi="ar-SA"/>
                    </w:rPr>
                  </w:pPr>
                  <w:r>
                    <w:rPr>
                      <w:rFonts w:hint="default" w:ascii="Times New Roman" w:hAnsi="Times New Roman" w:eastAsia="宋体" w:cs="Times New Roman"/>
                      <w:b w:val="0"/>
                      <w:bCs/>
                      <w:color w:val="auto"/>
                      <w:kern w:val="0"/>
                      <w:sz w:val="21"/>
                      <w:szCs w:val="21"/>
                      <w:highlight w:val="none"/>
                      <w:lang w:val="en-US" w:eastAsia="zh-CN" w:bidi="ar-SA"/>
                    </w:rPr>
                    <w:t>治理措施</w:t>
                  </w:r>
                </w:p>
              </w:tc>
              <w:tc>
                <w:tcPr>
                  <w:tcW w:w="507" w:type="pct"/>
                  <w:noWrap/>
                  <w:vAlign w:val="center"/>
                </w:tcPr>
                <w:p>
                  <w:pPr>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baseline"/>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bidi="ar-SA"/>
                    </w:rPr>
                    <w:t>降噪效果</w:t>
                  </w:r>
                  <w:r>
                    <w:rPr>
                      <w:rFonts w:hint="default" w:ascii="Times New Roman" w:hAnsi="Times New Roman" w:eastAsia="宋体" w:cs="Times New Roman"/>
                      <w:b w:val="0"/>
                      <w:bCs/>
                      <w:color w:val="auto"/>
                      <w:kern w:val="0"/>
                      <w:sz w:val="21"/>
                      <w:szCs w:val="21"/>
                      <w:highlight w:val="none"/>
                      <w:lang w:val="en-US" w:eastAsia="zh-CN" w:bidi="ar-SA"/>
                    </w:rPr>
                    <w:t>dB(A)</w:t>
                  </w:r>
                </w:p>
              </w:tc>
              <w:tc>
                <w:tcPr>
                  <w:tcW w:w="401" w:type="pct"/>
                  <w:noWrap/>
                  <w:vAlign w:val="center"/>
                </w:tcPr>
                <w:p>
                  <w:pPr>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baseline"/>
                    <w:rPr>
                      <w:rFonts w:hint="default"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bidi="ar-SA"/>
                    </w:rPr>
                    <w:t>运行时段</w:t>
                  </w:r>
                </w:p>
              </w:tc>
              <w:tc>
                <w:tcPr>
                  <w:tcW w:w="538" w:type="pct"/>
                  <w:noWrap/>
                  <w:vAlign w:val="center"/>
                </w:tcPr>
                <w:p>
                  <w:pPr>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baseline"/>
                    <w:rPr>
                      <w:rFonts w:hint="default" w:ascii="Times New Roman" w:hAnsi="Times New Roman" w:eastAsia="宋体" w:cs="Times New Roman"/>
                      <w:b w:val="0"/>
                      <w:bCs/>
                      <w:color w:val="auto"/>
                      <w:kern w:val="0"/>
                      <w:sz w:val="21"/>
                      <w:szCs w:val="21"/>
                      <w:highlight w:val="none"/>
                      <w:lang w:val="en-US" w:eastAsia="zh-CN" w:bidi="ar-SA"/>
                    </w:rPr>
                  </w:pPr>
                  <w:r>
                    <w:rPr>
                      <w:rFonts w:hint="default" w:ascii="Times New Roman" w:hAnsi="Times New Roman" w:eastAsia="宋体" w:cs="Times New Roman"/>
                      <w:b w:val="0"/>
                      <w:bCs/>
                      <w:color w:val="auto"/>
                      <w:kern w:val="0"/>
                      <w:sz w:val="21"/>
                      <w:szCs w:val="21"/>
                      <w:highlight w:val="none"/>
                      <w:lang w:val="en-US" w:eastAsia="zh-CN" w:bidi="ar-SA"/>
                    </w:rPr>
                    <w:t>治理后源强dB(A)</w:t>
                  </w:r>
                </w:p>
              </w:tc>
              <w:tc>
                <w:tcPr>
                  <w:tcW w:w="683" w:type="pct"/>
                  <w:noWrap/>
                  <w:vAlign w:val="center"/>
                </w:tcPr>
                <w:p>
                  <w:pPr>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baseline"/>
                    <w:rPr>
                      <w:rFonts w:hint="default"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bidi="ar-SA"/>
                    </w:rPr>
                    <w:t>坐标位置（以厂址中心为坐标原点）</w:t>
                  </w:r>
                </w:p>
              </w:tc>
              <w:tc>
                <w:tcPr>
                  <w:tcW w:w="510" w:type="pct"/>
                  <w:noWrap/>
                  <w:vAlign w:val="center"/>
                </w:tcPr>
                <w:p>
                  <w:pPr>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baseline"/>
                    <w:rPr>
                      <w:rFonts w:hint="default"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bidi="ar-SA"/>
                    </w:rPr>
                    <w:t>到厂界障碍物数量</w:t>
                  </w:r>
                </w:p>
              </w:tc>
              <w:tc>
                <w:tcPr>
                  <w:tcW w:w="440" w:type="pct"/>
                  <w:noWrap/>
                  <w:vAlign w:val="center"/>
                </w:tcPr>
                <w:p>
                  <w:pPr>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baseline"/>
                    <w:rPr>
                      <w:rFonts w:hint="default"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bidi="ar-SA"/>
                    </w:rPr>
                    <w:t>树林、灌木分布情况</w:t>
                  </w:r>
                </w:p>
              </w:tc>
              <w:tc>
                <w:tcPr>
                  <w:tcW w:w="405" w:type="pct"/>
                  <w:noWrap/>
                  <w:vAlign w:val="center"/>
                </w:tcPr>
                <w:p>
                  <w:pPr>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baseline"/>
                    <w:rPr>
                      <w:rFonts w:hint="default"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bidi="ar-SA"/>
                    </w:rPr>
                    <w:t>地面覆盖情况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5"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1</w:t>
                  </w:r>
                </w:p>
              </w:tc>
              <w:tc>
                <w:tcPr>
                  <w:tcW w:w="462"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螺杆空压机</w:t>
                  </w:r>
                </w:p>
              </w:tc>
              <w:tc>
                <w:tcPr>
                  <w:tcW w:w="453"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90</w:t>
                  </w:r>
                </w:p>
              </w:tc>
              <w:tc>
                <w:tcPr>
                  <w:tcW w:w="401" w:type="pct"/>
                  <w:vMerge w:val="restar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基础减震</w:t>
                  </w:r>
                </w:p>
              </w:tc>
              <w:tc>
                <w:tcPr>
                  <w:tcW w:w="507"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25</w:t>
                  </w:r>
                </w:p>
              </w:tc>
              <w:tc>
                <w:tcPr>
                  <w:tcW w:w="401"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昼</w:t>
                  </w:r>
                </w:p>
              </w:tc>
              <w:tc>
                <w:tcPr>
                  <w:tcW w:w="538"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65</w:t>
                  </w:r>
                </w:p>
              </w:tc>
              <w:tc>
                <w:tcPr>
                  <w:tcW w:w="683"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eastAsia" w:ascii="Times New Roman" w:hAnsi="Times New Roman" w:eastAsia="宋体" w:cs="Times New Roman"/>
                      <w:color w:val="auto"/>
                      <w:kern w:val="0"/>
                      <w:sz w:val="21"/>
                      <w:szCs w:val="20"/>
                      <w:highlight w:val="none"/>
                      <w:lang w:val="en-US" w:eastAsia="zh-CN" w:bidi="ar-SA"/>
                    </w:rPr>
                  </w:pPr>
                  <w:r>
                    <w:rPr>
                      <w:rFonts w:hint="default" w:ascii="Times New Roman" w:hAnsi="Times New Roman" w:eastAsia="宋体" w:cs="Times New Roman"/>
                      <w:color w:val="auto"/>
                      <w:kern w:val="0"/>
                      <w:sz w:val="21"/>
                      <w:szCs w:val="20"/>
                      <w:highlight w:val="none"/>
                      <w:lang w:val="en-US" w:eastAsia="zh-CN" w:bidi="ar-SA"/>
                    </w:rPr>
                    <w:t>1.8,21.14,1</w:t>
                  </w:r>
                </w:p>
              </w:tc>
              <w:tc>
                <w:tcPr>
                  <w:tcW w:w="510" w:type="pct"/>
                  <w:vMerge w:val="restart"/>
                  <w:noWrap/>
                  <w:vAlign w:val="center"/>
                </w:tcPr>
                <w:p>
                  <w:pPr>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baseline"/>
                    <w:rPr>
                      <w:rFonts w:hint="default"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bidi="ar-SA"/>
                    </w:rPr>
                    <w:t>东、北、南侧1道墙壁，西侧3道墙壁</w:t>
                  </w:r>
                </w:p>
              </w:tc>
              <w:tc>
                <w:tcPr>
                  <w:tcW w:w="440" w:type="pct"/>
                  <w:vMerge w:val="restart"/>
                  <w:noWrap/>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场内道路旁布置绿化带</w:t>
                  </w:r>
                  <w:r>
                    <w:rPr>
                      <w:rFonts w:hint="default" w:ascii="Times New Roman" w:hAnsi="Times New Roman" w:eastAsia="宋体" w:cs="Times New Roman"/>
                      <w:color w:val="auto"/>
                      <w:sz w:val="21"/>
                      <w:szCs w:val="21"/>
                      <w:highlight w:val="none"/>
                      <w:lang w:val="en-US" w:eastAsia="zh-CN"/>
                    </w:rPr>
                    <w:t>，种植低矮灌木</w:t>
                  </w:r>
                </w:p>
              </w:tc>
              <w:tc>
                <w:tcPr>
                  <w:tcW w:w="405" w:type="pct"/>
                  <w:vMerge w:val="restart"/>
                  <w:noWrap/>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沥青混凝土道路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5"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2</w:t>
                  </w:r>
                </w:p>
              </w:tc>
              <w:tc>
                <w:tcPr>
                  <w:tcW w:w="462"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螺杆空压机</w:t>
                  </w:r>
                </w:p>
              </w:tc>
              <w:tc>
                <w:tcPr>
                  <w:tcW w:w="453"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90</w:t>
                  </w:r>
                </w:p>
              </w:tc>
              <w:tc>
                <w:tcPr>
                  <w:tcW w:w="401" w:type="pct"/>
                  <w:vMerge w:val="continue"/>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eastAsia" w:ascii="Times New Roman" w:hAnsi="Times New Roman" w:eastAsia="宋体" w:cs="Times New Roman"/>
                      <w:color w:val="auto"/>
                      <w:kern w:val="0"/>
                      <w:sz w:val="21"/>
                      <w:szCs w:val="20"/>
                      <w:highlight w:val="none"/>
                      <w:lang w:val="en-US" w:eastAsia="zh-CN" w:bidi="ar-SA"/>
                    </w:rPr>
                  </w:pPr>
                </w:p>
              </w:tc>
              <w:tc>
                <w:tcPr>
                  <w:tcW w:w="507"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25</w:t>
                  </w:r>
                </w:p>
              </w:tc>
              <w:tc>
                <w:tcPr>
                  <w:tcW w:w="401"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昼</w:t>
                  </w:r>
                </w:p>
              </w:tc>
              <w:tc>
                <w:tcPr>
                  <w:tcW w:w="538"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65</w:t>
                  </w:r>
                </w:p>
              </w:tc>
              <w:tc>
                <w:tcPr>
                  <w:tcW w:w="683" w:type="pct"/>
                  <w:noWrap/>
                  <w:vAlign w:val="center"/>
                </w:tcPr>
                <w:p>
                  <w:pPr>
                    <w:pStyle w:val="67"/>
                    <w:keepNext w:val="0"/>
                    <w:keepLines w:val="0"/>
                    <w:pageBreakBefore w:val="0"/>
                    <w:widowControl w:val="0"/>
                    <w:kinsoku/>
                    <w:wordWrap/>
                    <w:overflowPunct/>
                    <w:topLinePunct w:val="0"/>
                    <w:bidi w:val="0"/>
                    <w:snapToGrid w:val="0"/>
                    <w:spacing w:line="240" w:lineRule="auto"/>
                    <w:ind w:firstLine="0" w:firstLineChars="0"/>
                    <w:rPr>
                      <w:rFonts w:hint="eastAsia" w:ascii="Times New Roman" w:hAnsi="Times New Roman" w:eastAsia="宋体" w:cs="Times New Roman"/>
                      <w:color w:val="auto"/>
                      <w:kern w:val="0"/>
                      <w:sz w:val="21"/>
                      <w:szCs w:val="20"/>
                      <w:highlight w:val="none"/>
                      <w:lang w:val="en-US" w:eastAsia="zh-CN" w:bidi="ar-SA"/>
                    </w:rPr>
                  </w:pPr>
                  <w:r>
                    <w:rPr>
                      <w:rFonts w:hint="default" w:ascii="Times New Roman" w:hAnsi="Times New Roman" w:eastAsia="宋体" w:cs="Times New Roman"/>
                      <w:color w:val="auto"/>
                      <w:kern w:val="0"/>
                      <w:sz w:val="21"/>
                      <w:szCs w:val="20"/>
                      <w:highlight w:val="none"/>
                      <w:lang w:val="en-US" w:eastAsia="zh-CN" w:bidi="ar-SA"/>
                    </w:rPr>
                    <w:t>3.53,15.7,1</w:t>
                  </w:r>
                </w:p>
              </w:tc>
              <w:tc>
                <w:tcPr>
                  <w:tcW w:w="510" w:type="pct"/>
                  <w:vMerge w:val="continue"/>
                  <w:noWrap/>
                  <w:vAlign w:val="center"/>
                </w:tcPr>
                <w:p>
                  <w:pPr>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baseline"/>
                    <w:rPr>
                      <w:rFonts w:hint="eastAsia" w:cs="Times New Roman"/>
                      <w:b w:val="0"/>
                      <w:bCs/>
                      <w:color w:val="auto"/>
                      <w:kern w:val="0"/>
                      <w:sz w:val="21"/>
                      <w:szCs w:val="21"/>
                      <w:highlight w:val="none"/>
                      <w:lang w:val="en-US" w:eastAsia="zh-CN" w:bidi="ar-SA"/>
                    </w:rPr>
                  </w:pPr>
                </w:p>
              </w:tc>
              <w:tc>
                <w:tcPr>
                  <w:tcW w:w="440" w:type="pct"/>
                  <w:vMerge w:val="continue"/>
                  <w:noWrap/>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eastAsia" w:ascii="Times New Roman" w:hAnsi="Times New Roman" w:eastAsia="宋体" w:cs="Times New Roman"/>
                      <w:color w:val="auto"/>
                      <w:sz w:val="21"/>
                      <w:szCs w:val="21"/>
                      <w:highlight w:val="none"/>
                      <w:lang w:val="en-US" w:eastAsia="zh-CN"/>
                    </w:rPr>
                  </w:pPr>
                </w:p>
              </w:tc>
              <w:tc>
                <w:tcPr>
                  <w:tcW w:w="405" w:type="pct"/>
                  <w:vMerge w:val="continue"/>
                  <w:noWrap/>
                  <w:vAlign w:val="center"/>
                </w:tcPr>
                <w:p>
                  <w:pPr>
                    <w:pStyle w:val="67"/>
                    <w:keepNext w:val="0"/>
                    <w:keepLines w:val="0"/>
                    <w:pageBreakBefore w:val="0"/>
                    <w:widowControl w:val="0"/>
                    <w:kinsoku/>
                    <w:wordWrap/>
                    <w:overflowPunct/>
                    <w:topLinePunct w:val="0"/>
                    <w:autoSpaceDE/>
                    <w:autoSpaceDN/>
                    <w:bidi w:val="0"/>
                    <w:adjustRightInd/>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p>
              </w:tc>
            </w:tr>
          </w:tbl>
          <w:p>
            <w:pPr>
              <w:pStyle w:val="7"/>
              <w:bidi w:val="0"/>
              <w:rPr>
                <w:rFonts w:hint="default" w:ascii="Times New Roman" w:hAnsi="Times New Roman" w:eastAsia="宋体" w:cs="Times New Roman"/>
                <w:b/>
                <w:color w:val="auto"/>
                <w:kern w:val="2"/>
                <w:sz w:val="24"/>
                <w:szCs w:val="21"/>
                <w:highlight w:val="none"/>
                <w:lang w:val="en-US" w:eastAsia="zh-CN" w:bidi="ar-SA"/>
              </w:rPr>
            </w:pPr>
            <w:r>
              <w:rPr>
                <w:rFonts w:hint="default" w:ascii="Times New Roman" w:hAnsi="Times New Roman" w:eastAsia="宋体" w:cs="Times New Roman"/>
                <w:b/>
                <w:color w:val="auto"/>
                <w:kern w:val="2"/>
                <w:sz w:val="24"/>
                <w:szCs w:val="21"/>
                <w:highlight w:val="none"/>
                <w:lang w:val="en-US" w:eastAsia="zh-CN" w:bidi="ar-SA"/>
              </w:rPr>
              <w:t>3.</w:t>
            </w:r>
            <w:r>
              <w:rPr>
                <w:rFonts w:hint="eastAsia" w:ascii="Times New Roman" w:hAnsi="Times New Roman" w:eastAsia="宋体" w:cs="Times New Roman"/>
                <w:b/>
                <w:color w:val="auto"/>
                <w:kern w:val="2"/>
                <w:sz w:val="24"/>
                <w:szCs w:val="21"/>
                <w:highlight w:val="none"/>
                <w:lang w:val="en-US" w:eastAsia="zh-CN" w:bidi="ar-SA"/>
              </w:rPr>
              <w:t xml:space="preserve">4 </w:t>
            </w:r>
            <w:r>
              <w:rPr>
                <w:rFonts w:hint="default" w:ascii="Times New Roman" w:hAnsi="Times New Roman" w:eastAsia="宋体" w:cs="Times New Roman"/>
                <w:b/>
                <w:color w:val="auto"/>
                <w:kern w:val="2"/>
                <w:sz w:val="24"/>
                <w:szCs w:val="21"/>
                <w:highlight w:val="none"/>
                <w:lang w:val="en-US" w:eastAsia="zh-CN" w:bidi="ar-SA"/>
              </w:rPr>
              <w:t>预测及声环境影响评价</w:t>
            </w:r>
          </w:p>
          <w:p>
            <w:pPr>
              <w:keepNext w:val="0"/>
              <w:keepLines w:val="0"/>
              <w:pageBreakBefore w:val="0"/>
              <w:widowControl/>
              <w:kinsoku/>
              <w:wordWrap/>
              <w:overflowPunct/>
              <w:topLinePunct w:val="0"/>
              <w:autoSpaceDE/>
              <w:autoSpaceDN/>
              <w:bidi w:val="0"/>
              <w:adjustRightInd/>
              <w:spacing w:beforeAutospacing="0" w:afterAutospacing="0" w:line="360" w:lineRule="auto"/>
              <w:ind w:left="0" w:leftChars="0" w:firstLine="480" w:firstLineChars="200"/>
              <w:textAlignment w:val="auto"/>
              <w:rPr>
                <w:rFonts w:hint="default" w:ascii="Times New Roman" w:hAnsi="Times New Roman" w:eastAsia="宋体" w:cs="Times New Roman"/>
                <w:b/>
                <w:bCs w:val="0"/>
                <w:color w:val="auto"/>
                <w:sz w:val="24"/>
                <w:szCs w:val="20"/>
                <w:highlight w:val="none"/>
                <w:lang w:val="en-US" w:eastAsia="zh-CN"/>
              </w:rPr>
            </w:pPr>
            <w:r>
              <w:rPr>
                <w:rFonts w:hint="eastAsia" w:ascii="Times New Roman" w:hAnsi="Times New Roman" w:eastAsia="宋体" w:cs="Times New Roman"/>
                <w:bCs/>
                <w:snapToGrid w:val="0"/>
                <w:color w:val="auto"/>
                <w:kern w:val="0"/>
                <w:sz w:val="24"/>
                <w:highlight w:val="none"/>
                <w:lang w:val="en-US" w:eastAsia="zh-CN"/>
              </w:rPr>
              <w:t>根据</w:t>
            </w:r>
            <w:r>
              <w:rPr>
                <w:rFonts w:hint="eastAsia" w:ascii="仿宋" w:cs="仿宋"/>
                <w:color w:val="auto"/>
                <w:highlight w:val="none"/>
                <w:lang w:val="en-US" w:eastAsia="zh-CN"/>
              </w:rPr>
              <w:t>预测模式</w:t>
            </w:r>
            <w:r>
              <w:rPr>
                <w:rFonts w:hint="eastAsia" w:ascii="Times New Roman" w:hAnsi="Times New Roman" w:eastAsia="宋体" w:cs="Times New Roman"/>
                <w:bCs/>
                <w:snapToGrid w:val="0"/>
                <w:color w:val="auto"/>
                <w:kern w:val="0"/>
                <w:sz w:val="24"/>
                <w:highlight w:val="none"/>
                <w:lang w:val="en-US" w:eastAsia="zh-CN"/>
              </w:rPr>
              <w:t>，厂界噪声预测结果见下表。</w:t>
            </w:r>
          </w:p>
          <w:p>
            <w:pPr>
              <w:pStyle w:val="45"/>
              <w:rPr>
                <w:rFonts w:hint="default" w:ascii="Times New Roman" w:hAnsi="Times New Roman" w:eastAsia="宋体" w:cs="Times New Roman"/>
                <w:b/>
                <w:bCs w:val="0"/>
                <w:color w:val="auto"/>
                <w:sz w:val="24"/>
                <w:szCs w:val="20"/>
                <w:highlight w:val="none"/>
                <w:lang w:val="en-US" w:eastAsia="zh-CN"/>
              </w:rPr>
            </w:pPr>
            <w:r>
              <w:rPr>
                <w:rFonts w:hint="default" w:ascii="Times New Roman" w:hAnsi="Times New Roman" w:eastAsia="宋体" w:cs="Times New Roman"/>
                <w:b/>
                <w:bCs w:val="0"/>
                <w:color w:val="auto"/>
                <w:sz w:val="24"/>
                <w:szCs w:val="20"/>
                <w:highlight w:val="none"/>
                <w:lang w:val="en-US" w:eastAsia="zh-CN"/>
              </w:rPr>
              <w:t>表</w:t>
            </w:r>
            <w:r>
              <w:rPr>
                <w:rFonts w:hint="eastAsia" w:cs="Times New Roman"/>
                <w:b/>
                <w:bCs w:val="0"/>
                <w:color w:val="auto"/>
                <w:sz w:val="24"/>
                <w:szCs w:val="20"/>
                <w:highlight w:val="none"/>
                <w:lang w:val="en-US" w:eastAsia="zh-CN"/>
              </w:rPr>
              <w:t>4-5</w:t>
            </w:r>
            <w:r>
              <w:rPr>
                <w:rFonts w:hint="default" w:ascii="Times New Roman" w:hAnsi="Times New Roman" w:eastAsia="宋体" w:cs="Times New Roman"/>
                <w:b/>
                <w:bCs w:val="0"/>
                <w:color w:val="auto"/>
                <w:sz w:val="24"/>
                <w:szCs w:val="20"/>
                <w:highlight w:val="none"/>
                <w:lang w:val="en-US" w:eastAsia="zh-CN"/>
              </w:rPr>
              <w:t xml:space="preserve"> 项目建成后厂界噪声预测结果一览表  单位：dB(A)</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844"/>
              <w:gridCol w:w="1287"/>
              <w:gridCol w:w="1287"/>
              <w:gridCol w:w="1287"/>
              <w:gridCol w:w="1289"/>
              <w:gridCol w:w="1289"/>
              <w:gridCol w:w="1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9" w:hRule="atLeast"/>
                <w:jc w:val="center"/>
              </w:trPr>
              <w:tc>
                <w:tcPr>
                  <w:tcW w:w="505" w:type="pct"/>
                  <w:noWrap w:val="0"/>
                  <w:vAlign w:val="center"/>
                </w:tcPr>
                <w:p>
                  <w:pPr>
                    <w:pStyle w:val="63"/>
                    <w:rPr>
                      <w:rFonts w:cs="Times New Roman"/>
                      <w:color w:val="auto"/>
                      <w:sz w:val="21"/>
                      <w:szCs w:val="20"/>
                      <w:highlight w:val="none"/>
                    </w:rPr>
                  </w:pPr>
                  <w:r>
                    <w:rPr>
                      <w:rFonts w:cs="Times New Roman"/>
                      <w:color w:val="auto"/>
                      <w:sz w:val="21"/>
                      <w:szCs w:val="20"/>
                      <w:highlight w:val="none"/>
                    </w:rPr>
                    <w:t>名称</w:t>
                  </w:r>
                </w:p>
              </w:tc>
              <w:tc>
                <w:tcPr>
                  <w:tcW w:w="770" w:type="pct"/>
                  <w:noWrap w:val="0"/>
                  <w:vAlign w:val="center"/>
                </w:tcPr>
                <w:p>
                  <w:pPr>
                    <w:pStyle w:val="63"/>
                    <w:rPr>
                      <w:rFonts w:cs="Times New Roman"/>
                      <w:color w:val="auto"/>
                      <w:sz w:val="21"/>
                      <w:szCs w:val="20"/>
                      <w:highlight w:val="none"/>
                    </w:rPr>
                  </w:pPr>
                  <w:r>
                    <w:rPr>
                      <w:rFonts w:cs="Times New Roman"/>
                      <w:color w:val="auto"/>
                      <w:sz w:val="21"/>
                      <w:szCs w:val="20"/>
                      <w:highlight w:val="none"/>
                    </w:rPr>
                    <w:t>时段</w:t>
                  </w:r>
                </w:p>
              </w:tc>
              <w:tc>
                <w:tcPr>
                  <w:tcW w:w="770" w:type="pct"/>
                  <w:noWrap w:val="0"/>
                  <w:vAlign w:val="center"/>
                </w:tcPr>
                <w:p>
                  <w:pPr>
                    <w:pStyle w:val="63"/>
                    <w:rPr>
                      <w:rFonts w:hint="default" w:eastAsia="宋体" w:cs="Times New Roman"/>
                      <w:color w:val="auto"/>
                      <w:sz w:val="21"/>
                      <w:szCs w:val="20"/>
                      <w:highlight w:val="none"/>
                      <w:lang w:val="en-US" w:eastAsia="zh-CN"/>
                    </w:rPr>
                  </w:pPr>
                  <w:r>
                    <w:rPr>
                      <w:rFonts w:hint="eastAsia" w:cs="Times New Roman"/>
                      <w:color w:val="auto"/>
                      <w:sz w:val="21"/>
                      <w:szCs w:val="20"/>
                      <w:highlight w:val="none"/>
                      <w:lang w:val="en-US" w:eastAsia="zh-CN"/>
                    </w:rPr>
                    <w:t>昼间背景值</w:t>
                  </w:r>
                </w:p>
              </w:tc>
              <w:tc>
                <w:tcPr>
                  <w:tcW w:w="770" w:type="pct"/>
                  <w:noWrap w:val="0"/>
                  <w:vAlign w:val="center"/>
                </w:tcPr>
                <w:p>
                  <w:pPr>
                    <w:pStyle w:val="63"/>
                    <w:rPr>
                      <w:rFonts w:cs="Times New Roman"/>
                      <w:color w:val="auto"/>
                      <w:sz w:val="21"/>
                      <w:szCs w:val="20"/>
                      <w:highlight w:val="none"/>
                    </w:rPr>
                  </w:pPr>
                  <w:r>
                    <w:rPr>
                      <w:rFonts w:hint="eastAsia" w:cs="Times New Roman"/>
                      <w:color w:val="auto"/>
                      <w:sz w:val="21"/>
                      <w:szCs w:val="20"/>
                      <w:highlight w:val="none"/>
                      <w:lang w:val="en-US" w:eastAsia="zh-CN"/>
                    </w:rPr>
                    <w:t>昼间</w:t>
                  </w:r>
                  <w:r>
                    <w:rPr>
                      <w:rFonts w:cs="Times New Roman"/>
                      <w:color w:val="auto"/>
                      <w:sz w:val="21"/>
                      <w:szCs w:val="20"/>
                      <w:highlight w:val="none"/>
                    </w:rPr>
                    <w:t>贡献值</w:t>
                  </w:r>
                </w:p>
              </w:tc>
              <w:tc>
                <w:tcPr>
                  <w:tcW w:w="771" w:type="pct"/>
                  <w:noWrap w:val="0"/>
                  <w:vAlign w:val="center"/>
                </w:tcPr>
                <w:p>
                  <w:pPr>
                    <w:pStyle w:val="63"/>
                    <w:rPr>
                      <w:rFonts w:hint="default" w:cs="Times New Roman"/>
                      <w:color w:val="auto"/>
                      <w:sz w:val="21"/>
                      <w:szCs w:val="20"/>
                      <w:highlight w:val="none"/>
                      <w:lang w:val="en-US" w:eastAsia="zh-CN"/>
                    </w:rPr>
                  </w:pPr>
                  <w:r>
                    <w:rPr>
                      <w:rFonts w:hint="eastAsia" w:cs="Times New Roman"/>
                      <w:color w:val="auto"/>
                      <w:sz w:val="21"/>
                      <w:szCs w:val="20"/>
                      <w:highlight w:val="none"/>
                      <w:lang w:val="en-US" w:eastAsia="zh-CN"/>
                    </w:rPr>
                    <w:t>昼间预测值</w:t>
                  </w:r>
                </w:p>
              </w:tc>
              <w:tc>
                <w:tcPr>
                  <w:tcW w:w="771" w:type="pct"/>
                  <w:noWrap w:val="0"/>
                  <w:vAlign w:val="center"/>
                </w:tcPr>
                <w:p>
                  <w:pPr>
                    <w:pStyle w:val="63"/>
                    <w:rPr>
                      <w:rFonts w:hint="default" w:eastAsia="宋体" w:cs="Times New Roman"/>
                      <w:color w:val="auto"/>
                      <w:sz w:val="21"/>
                      <w:szCs w:val="20"/>
                      <w:highlight w:val="none"/>
                      <w:lang w:val="en-US" w:eastAsia="zh-CN"/>
                    </w:rPr>
                  </w:pPr>
                  <w:r>
                    <w:rPr>
                      <w:rFonts w:hint="eastAsia" w:cs="Times New Roman"/>
                      <w:color w:val="auto"/>
                      <w:sz w:val="21"/>
                      <w:szCs w:val="20"/>
                      <w:highlight w:val="none"/>
                      <w:lang w:val="en-US" w:eastAsia="zh-CN"/>
                    </w:rPr>
                    <w:t>昼间标准</w:t>
                  </w:r>
                  <w:r>
                    <w:rPr>
                      <w:rFonts w:hint="default" w:cs="Times New Roman"/>
                      <w:color w:val="auto"/>
                      <w:sz w:val="21"/>
                      <w:szCs w:val="20"/>
                      <w:highlight w:val="none"/>
                      <w:lang w:val="en-US" w:eastAsia="zh-CN"/>
                    </w:rPr>
                    <w:t>值</w:t>
                  </w:r>
                </w:p>
              </w:tc>
              <w:tc>
                <w:tcPr>
                  <w:tcW w:w="639" w:type="pct"/>
                  <w:noWrap w:val="0"/>
                  <w:vAlign w:val="center"/>
                </w:tcPr>
                <w:p>
                  <w:pPr>
                    <w:pStyle w:val="63"/>
                    <w:rPr>
                      <w:rFonts w:cs="Times New Roman"/>
                      <w:color w:val="auto"/>
                      <w:sz w:val="21"/>
                      <w:szCs w:val="20"/>
                      <w:highlight w:val="none"/>
                    </w:rPr>
                  </w:pPr>
                  <w:r>
                    <w:rPr>
                      <w:rFonts w:cs="Times New Roman"/>
                      <w:color w:val="auto"/>
                      <w:sz w:val="21"/>
                      <w:szCs w:val="20"/>
                      <w:highlight w:val="none"/>
                    </w:rPr>
                    <w:t>达标分析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jc w:val="center"/>
              </w:trPr>
              <w:tc>
                <w:tcPr>
                  <w:tcW w:w="505" w:type="pct"/>
                  <w:noWrap w:val="0"/>
                  <w:vAlign w:val="center"/>
                </w:tcPr>
                <w:p>
                  <w:pPr>
                    <w:pStyle w:val="63"/>
                    <w:rPr>
                      <w:rFonts w:cs="Times New Roman"/>
                      <w:color w:val="auto"/>
                      <w:sz w:val="21"/>
                      <w:szCs w:val="20"/>
                      <w:highlight w:val="none"/>
                    </w:rPr>
                  </w:pPr>
                  <w:r>
                    <w:rPr>
                      <w:rFonts w:cs="Times New Roman"/>
                      <w:color w:val="auto"/>
                      <w:sz w:val="21"/>
                      <w:szCs w:val="20"/>
                      <w:highlight w:val="none"/>
                    </w:rPr>
                    <w:t>东厂界</w:t>
                  </w:r>
                </w:p>
              </w:tc>
              <w:tc>
                <w:tcPr>
                  <w:tcW w:w="770" w:type="pct"/>
                  <w:noWrap w:val="0"/>
                  <w:vAlign w:val="center"/>
                </w:tcPr>
                <w:p>
                  <w:pPr>
                    <w:pStyle w:val="63"/>
                    <w:rPr>
                      <w:rFonts w:hint="eastAsia" w:cs="Times New Roman"/>
                      <w:color w:val="auto"/>
                      <w:sz w:val="21"/>
                      <w:szCs w:val="20"/>
                      <w:highlight w:val="none"/>
                      <w:lang w:eastAsia="zh-CN"/>
                    </w:rPr>
                  </w:pPr>
                  <w:r>
                    <w:rPr>
                      <w:rFonts w:cs="Times New Roman"/>
                      <w:color w:val="auto"/>
                      <w:sz w:val="21"/>
                      <w:szCs w:val="20"/>
                      <w:highlight w:val="none"/>
                    </w:rPr>
                    <w:t>昼</w:t>
                  </w:r>
                </w:p>
              </w:tc>
              <w:tc>
                <w:tcPr>
                  <w:tcW w:w="770" w:type="pct"/>
                  <w:noWrap w:val="0"/>
                  <w:vAlign w:val="center"/>
                </w:tcPr>
                <w:p>
                  <w:pPr>
                    <w:pStyle w:val="63"/>
                    <w:rPr>
                      <w:rFonts w:hint="eastAsia" w:eastAsia="宋体" w:cs="Times New Roman"/>
                      <w:color w:val="auto"/>
                      <w:sz w:val="21"/>
                      <w:szCs w:val="20"/>
                      <w:highlight w:val="none"/>
                      <w:lang w:val="en-US" w:eastAsia="zh-CN"/>
                    </w:rPr>
                  </w:pPr>
                  <w:r>
                    <w:rPr>
                      <w:rFonts w:hint="eastAsia" w:cs="Times New Roman"/>
                      <w:color w:val="auto"/>
                      <w:sz w:val="21"/>
                      <w:szCs w:val="20"/>
                      <w:highlight w:val="none"/>
                      <w:lang w:val="en-US" w:eastAsia="zh-CN"/>
                    </w:rPr>
                    <w:t>55.8</w:t>
                  </w:r>
                </w:p>
              </w:tc>
              <w:tc>
                <w:tcPr>
                  <w:tcW w:w="770" w:type="pct"/>
                  <w:noWrap w:val="0"/>
                  <w:vAlign w:val="center"/>
                </w:tcPr>
                <w:p>
                  <w:pPr>
                    <w:pStyle w:val="63"/>
                    <w:rPr>
                      <w:rFonts w:hint="default" w:ascii="宋体" w:hAnsi="宋体" w:eastAsia="宋体" w:cs="Times New Roman"/>
                      <w:color w:val="auto"/>
                      <w:sz w:val="21"/>
                      <w:szCs w:val="20"/>
                      <w:highlight w:val="none"/>
                      <w:lang w:val="en-US" w:eastAsia="zh-CN"/>
                    </w:rPr>
                  </w:pPr>
                  <w:r>
                    <w:rPr>
                      <w:rFonts w:hint="eastAsia" w:cs="Times New Roman"/>
                      <w:color w:val="auto"/>
                      <w:sz w:val="21"/>
                      <w:szCs w:val="20"/>
                      <w:highlight w:val="none"/>
                      <w:lang w:val="en-US" w:eastAsia="zh-CN"/>
                    </w:rPr>
                    <w:t>46.59</w:t>
                  </w:r>
                </w:p>
              </w:tc>
              <w:tc>
                <w:tcPr>
                  <w:tcW w:w="771" w:type="pct"/>
                  <w:noWrap w:val="0"/>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eastAsia" w:cs="Times New Roman"/>
                      <w:b w:val="0"/>
                      <w:bCs w:val="0"/>
                      <w:color w:val="auto"/>
                      <w:kern w:val="0"/>
                      <w:sz w:val="21"/>
                      <w:szCs w:val="20"/>
                      <w:highlight w:val="none"/>
                      <w:vertAlign w:val="baseline"/>
                      <w:lang w:val="en-US" w:eastAsia="zh-CN" w:bidi="ar-SA"/>
                    </w:rPr>
                    <w:t>56.29</w:t>
                  </w:r>
                </w:p>
              </w:tc>
              <w:tc>
                <w:tcPr>
                  <w:tcW w:w="771" w:type="pct"/>
                  <w:vMerge w:val="restart"/>
                  <w:noWrap w:val="0"/>
                  <w:vAlign w:val="center"/>
                </w:tcPr>
                <w:p>
                  <w:pPr>
                    <w:pStyle w:val="63"/>
                    <w:rPr>
                      <w:rFonts w:hint="default" w:ascii="宋体" w:hAnsi="宋体" w:eastAsia="宋体" w:cs="Times New Roman"/>
                      <w:color w:val="auto"/>
                      <w:sz w:val="21"/>
                      <w:szCs w:val="20"/>
                      <w:highlight w:val="none"/>
                      <w:lang w:val="en-US" w:eastAsia="zh-CN"/>
                    </w:rPr>
                  </w:pPr>
                  <w:r>
                    <w:rPr>
                      <w:rFonts w:hint="eastAsia" w:cs="Times New Roman"/>
                      <w:color w:val="auto"/>
                      <w:sz w:val="21"/>
                      <w:szCs w:val="20"/>
                      <w:highlight w:val="none"/>
                      <w:lang w:val="en-US" w:eastAsia="zh-CN"/>
                    </w:rPr>
                    <w:t>60</w:t>
                  </w:r>
                </w:p>
              </w:tc>
              <w:tc>
                <w:tcPr>
                  <w:tcW w:w="639" w:type="pct"/>
                  <w:noWrap w:val="0"/>
                  <w:vAlign w:val="center"/>
                </w:tcPr>
                <w:p>
                  <w:pPr>
                    <w:pStyle w:val="63"/>
                    <w:rPr>
                      <w:rFonts w:cs="Times New Roman"/>
                      <w:color w:val="auto"/>
                      <w:sz w:val="21"/>
                      <w:szCs w:val="20"/>
                      <w:highlight w:val="none"/>
                    </w:rPr>
                  </w:pPr>
                  <w:r>
                    <w:rPr>
                      <w:rFonts w:cs="Times New Roman"/>
                      <w:color w:val="auto"/>
                      <w:sz w:val="21"/>
                      <w:szCs w:val="20"/>
                      <w:highlight w:val="none"/>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05" w:type="pct"/>
                  <w:noWrap w:val="0"/>
                  <w:vAlign w:val="center"/>
                </w:tcPr>
                <w:p>
                  <w:pPr>
                    <w:pStyle w:val="63"/>
                    <w:rPr>
                      <w:rFonts w:cs="Times New Roman"/>
                      <w:color w:val="auto"/>
                      <w:sz w:val="21"/>
                      <w:szCs w:val="20"/>
                      <w:highlight w:val="none"/>
                    </w:rPr>
                  </w:pPr>
                  <w:r>
                    <w:rPr>
                      <w:rFonts w:cs="Times New Roman"/>
                      <w:color w:val="auto"/>
                      <w:sz w:val="21"/>
                      <w:szCs w:val="20"/>
                      <w:highlight w:val="none"/>
                    </w:rPr>
                    <w:t>南厂界</w:t>
                  </w:r>
                </w:p>
              </w:tc>
              <w:tc>
                <w:tcPr>
                  <w:tcW w:w="770" w:type="pct"/>
                  <w:noWrap w:val="0"/>
                  <w:vAlign w:val="center"/>
                </w:tcPr>
                <w:p>
                  <w:pPr>
                    <w:pStyle w:val="63"/>
                    <w:rPr>
                      <w:rFonts w:cs="Times New Roman"/>
                      <w:color w:val="auto"/>
                      <w:sz w:val="21"/>
                      <w:szCs w:val="20"/>
                      <w:highlight w:val="none"/>
                    </w:rPr>
                  </w:pPr>
                  <w:r>
                    <w:rPr>
                      <w:rFonts w:cs="Times New Roman"/>
                      <w:color w:val="auto"/>
                      <w:sz w:val="21"/>
                      <w:szCs w:val="20"/>
                      <w:highlight w:val="none"/>
                    </w:rPr>
                    <w:t>昼</w:t>
                  </w:r>
                </w:p>
              </w:tc>
              <w:tc>
                <w:tcPr>
                  <w:tcW w:w="770" w:type="pct"/>
                  <w:noWrap w:val="0"/>
                  <w:vAlign w:val="center"/>
                </w:tcPr>
                <w:p>
                  <w:pPr>
                    <w:pStyle w:val="63"/>
                    <w:rPr>
                      <w:rFonts w:hint="eastAsia" w:eastAsia="宋体" w:cs="Times New Roman"/>
                      <w:color w:val="auto"/>
                      <w:sz w:val="21"/>
                      <w:szCs w:val="20"/>
                      <w:highlight w:val="none"/>
                      <w:lang w:val="en-US" w:eastAsia="zh-CN"/>
                    </w:rPr>
                  </w:pPr>
                  <w:r>
                    <w:rPr>
                      <w:rFonts w:hint="eastAsia" w:cs="Times New Roman"/>
                      <w:color w:val="auto"/>
                      <w:sz w:val="21"/>
                      <w:szCs w:val="20"/>
                      <w:highlight w:val="none"/>
                      <w:lang w:val="en-US" w:eastAsia="zh-CN"/>
                    </w:rPr>
                    <w:t>55.8</w:t>
                  </w:r>
                </w:p>
              </w:tc>
              <w:tc>
                <w:tcPr>
                  <w:tcW w:w="770" w:type="pct"/>
                  <w:noWrap w:val="0"/>
                  <w:vAlign w:val="center"/>
                </w:tcPr>
                <w:p>
                  <w:pPr>
                    <w:pStyle w:val="63"/>
                    <w:ind w:firstLine="0" w:firstLineChars="0"/>
                    <w:rPr>
                      <w:rFonts w:hint="default" w:ascii="宋体" w:hAnsi="宋体" w:eastAsia="宋体" w:cs="Times New Roman"/>
                      <w:color w:val="auto"/>
                      <w:sz w:val="21"/>
                      <w:szCs w:val="20"/>
                      <w:highlight w:val="none"/>
                      <w:lang w:val="en-US" w:eastAsia="zh-CN"/>
                    </w:rPr>
                  </w:pPr>
                  <w:r>
                    <w:rPr>
                      <w:rFonts w:hint="eastAsia" w:cs="Times New Roman"/>
                      <w:color w:val="auto"/>
                      <w:sz w:val="21"/>
                      <w:szCs w:val="20"/>
                      <w:highlight w:val="none"/>
                      <w:lang w:val="en-US" w:eastAsia="zh-CN"/>
                    </w:rPr>
                    <w:t>37.93</w:t>
                  </w:r>
                </w:p>
              </w:tc>
              <w:tc>
                <w:tcPr>
                  <w:tcW w:w="771" w:type="pct"/>
                  <w:noWrap w:val="0"/>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eastAsia" w:cs="Times New Roman"/>
                      <w:b w:val="0"/>
                      <w:bCs w:val="0"/>
                      <w:color w:val="auto"/>
                      <w:kern w:val="0"/>
                      <w:sz w:val="21"/>
                      <w:szCs w:val="20"/>
                      <w:highlight w:val="none"/>
                      <w:vertAlign w:val="baseline"/>
                      <w:lang w:val="en-US" w:eastAsia="zh-CN" w:bidi="ar-SA"/>
                    </w:rPr>
                    <w:t>55.87</w:t>
                  </w:r>
                </w:p>
              </w:tc>
              <w:tc>
                <w:tcPr>
                  <w:tcW w:w="771" w:type="pct"/>
                  <w:vMerge w:val="continue"/>
                  <w:noWrap w:val="0"/>
                  <w:vAlign w:val="center"/>
                </w:tcPr>
                <w:p>
                  <w:pPr>
                    <w:pStyle w:val="63"/>
                    <w:ind w:firstLine="0" w:firstLineChars="0"/>
                    <w:rPr>
                      <w:rFonts w:hint="default" w:ascii="宋体" w:hAnsi="宋体" w:eastAsia="宋体" w:cs="Times New Roman"/>
                      <w:color w:val="auto"/>
                      <w:sz w:val="21"/>
                      <w:szCs w:val="20"/>
                      <w:highlight w:val="none"/>
                      <w:lang w:val="en-US" w:eastAsia="zh-CN"/>
                    </w:rPr>
                  </w:pPr>
                </w:p>
              </w:tc>
              <w:tc>
                <w:tcPr>
                  <w:tcW w:w="639" w:type="pct"/>
                  <w:noWrap w:val="0"/>
                  <w:vAlign w:val="center"/>
                </w:tcPr>
                <w:p>
                  <w:pPr>
                    <w:pStyle w:val="63"/>
                    <w:rPr>
                      <w:rFonts w:cs="Times New Roman"/>
                      <w:color w:val="auto"/>
                      <w:sz w:val="21"/>
                      <w:szCs w:val="20"/>
                      <w:highlight w:val="none"/>
                    </w:rPr>
                  </w:pPr>
                  <w:r>
                    <w:rPr>
                      <w:rFonts w:cs="Times New Roman"/>
                      <w:color w:val="auto"/>
                      <w:sz w:val="21"/>
                      <w:szCs w:val="20"/>
                      <w:highlight w:val="none"/>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05" w:type="pct"/>
                  <w:noWrap w:val="0"/>
                  <w:vAlign w:val="center"/>
                </w:tcPr>
                <w:p>
                  <w:pPr>
                    <w:pStyle w:val="63"/>
                    <w:rPr>
                      <w:rFonts w:cs="Times New Roman"/>
                      <w:color w:val="auto"/>
                      <w:sz w:val="21"/>
                      <w:szCs w:val="20"/>
                      <w:highlight w:val="none"/>
                    </w:rPr>
                  </w:pPr>
                  <w:r>
                    <w:rPr>
                      <w:rFonts w:cs="Times New Roman"/>
                      <w:color w:val="auto"/>
                      <w:sz w:val="21"/>
                      <w:szCs w:val="20"/>
                      <w:highlight w:val="none"/>
                    </w:rPr>
                    <w:t>西厂界</w:t>
                  </w:r>
                </w:p>
              </w:tc>
              <w:tc>
                <w:tcPr>
                  <w:tcW w:w="770" w:type="pct"/>
                  <w:noWrap w:val="0"/>
                  <w:vAlign w:val="center"/>
                </w:tcPr>
                <w:p>
                  <w:pPr>
                    <w:pStyle w:val="63"/>
                    <w:rPr>
                      <w:rFonts w:cs="Times New Roman"/>
                      <w:color w:val="auto"/>
                      <w:sz w:val="21"/>
                      <w:szCs w:val="20"/>
                      <w:highlight w:val="none"/>
                    </w:rPr>
                  </w:pPr>
                  <w:r>
                    <w:rPr>
                      <w:rFonts w:cs="Times New Roman"/>
                      <w:color w:val="auto"/>
                      <w:sz w:val="21"/>
                      <w:szCs w:val="20"/>
                      <w:highlight w:val="none"/>
                    </w:rPr>
                    <w:t>昼</w:t>
                  </w:r>
                </w:p>
              </w:tc>
              <w:tc>
                <w:tcPr>
                  <w:tcW w:w="770" w:type="pct"/>
                  <w:noWrap w:val="0"/>
                  <w:vAlign w:val="center"/>
                </w:tcPr>
                <w:p>
                  <w:pPr>
                    <w:pStyle w:val="63"/>
                    <w:rPr>
                      <w:rFonts w:hint="default" w:cs="Times New Roman"/>
                      <w:color w:val="auto"/>
                      <w:sz w:val="21"/>
                      <w:szCs w:val="20"/>
                      <w:highlight w:val="none"/>
                      <w:lang w:val="en-US" w:eastAsia="zh-CN"/>
                    </w:rPr>
                  </w:pPr>
                  <w:r>
                    <w:rPr>
                      <w:rFonts w:hint="eastAsia" w:cs="Times New Roman"/>
                      <w:color w:val="auto"/>
                      <w:sz w:val="21"/>
                      <w:szCs w:val="20"/>
                      <w:highlight w:val="none"/>
                      <w:lang w:val="en-US" w:eastAsia="zh-CN"/>
                    </w:rPr>
                    <w:t>55.8</w:t>
                  </w:r>
                </w:p>
              </w:tc>
              <w:tc>
                <w:tcPr>
                  <w:tcW w:w="770" w:type="pct"/>
                  <w:noWrap w:val="0"/>
                  <w:vAlign w:val="center"/>
                </w:tcPr>
                <w:p>
                  <w:pPr>
                    <w:pStyle w:val="63"/>
                    <w:rPr>
                      <w:rFonts w:hint="default" w:ascii="宋体" w:hAnsi="宋体" w:eastAsia="宋体" w:cs="Times New Roman"/>
                      <w:color w:val="auto"/>
                      <w:sz w:val="21"/>
                      <w:szCs w:val="20"/>
                      <w:highlight w:val="none"/>
                      <w:lang w:val="en-US" w:eastAsia="zh-CN"/>
                    </w:rPr>
                  </w:pPr>
                  <w:r>
                    <w:rPr>
                      <w:rFonts w:hint="eastAsia" w:cs="Times New Roman"/>
                      <w:color w:val="auto"/>
                      <w:sz w:val="21"/>
                      <w:szCs w:val="20"/>
                      <w:highlight w:val="none"/>
                      <w:lang w:val="en-US" w:eastAsia="zh-CN"/>
                    </w:rPr>
                    <w:t>7.92</w:t>
                  </w:r>
                </w:p>
              </w:tc>
              <w:tc>
                <w:tcPr>
                  <w:tcW w:w="771" w:type="pct"/>
                  <w:noWrap w:val="0"/>
                  <w:vAlign w:val="center"/>
                </w:tcPr>
                <w:p>
                  <w:pPr>
                    <w:pStyle w:val="63"/>
                    <w:rPr>
                      <w:rFonts w:hint="default" w:ascii="宋体" w:hAnsi="宋体" w:eastAsia="宋体" w:cs="Times New Roman"/>
                      <w:b w:val="0"/>
                      <w:bCs w:val="0"/>
                      <w:color w:val="auto"/>
                      <w:kern w:val="0"/>
                      <w:sz w:val="21"/>
                      <w:szCs w:val="20"/>
                      <w:highlight w:val="none"/>
                      <w:vertAlign w:val="baseline"/>
                      <w:lang w:val="en-US" w:eastAsia="zh-CN" w:bidi="ar-SA"/>
                    </w:rPr>
                  </w:pPr>
                  <w:r>
                    <w:rPr>
                      <w:rFonts w:hint="eastAsia" w:cs="Times New Roman"/>
                      <w:b w:val="0"/>
                      <w:bCs w:val="0"/>
                      <w:color w:val="auto"/>
                      <w:kern w:val="0"/>
                      <w:sz w:val="21"/>
                      <w:szCs w:val="20"/>
                      <w:highlight w:val="none"/>
                      <w:vertAlign w:val="baseline"/>
                      <w:lang w:val="en-US" w:eastAsia="zh-CN" w:bidi="ar-SA"/>
                    </w:rPr>
                    <w:t>55.8</w:t>
                  </w:r>
                </w:p>
              </w:tc>
              <w:tc>
                <w:tcPr>
                  <w:tcW w:w="771" w:type="pct"/>
                  <w:vMerge w:val="continue"/>
                  <w:noWrap w:val="0"/>
                  <w:vAlign w:val="center"/>
                </w:tcPr>
                <w:p>
                  <w:pPr>
                    <w:pStyle w:val="63"/>
                    <w:ind w:firstLine="0" w:firstLineChars="0"/>
                    <w:rPr>
                      <w:rFonts w:hint="default" w:ascii="宋体" w:hAnsi="宋体" w:eastAsia="宋体" w:cs="Times New Roman"/>
                      <w:color w:val="auto"/>
                      <w:sz w:val="21"/>
                      <w:szCs w:val="20"/>
                      <w:highlight w:val="none"/>
                      <w:lang w:val="en-US" w:eastAsia="zh-CN"/>
                    </w:rPr>
                  </w:pPr>
                </w:p>
              </w:tc>
              <w:tc>
                <w:tcPr>
                  <w:tcW w:w="639" w:type="pct"/>
                  <w:noWrap w:val="0"/>
                  <w:vAlign w:val="center"/>
                </w:tcPr>
                <w:p>
                  <w:pPr>
                    <w:pStyle w:val="63"/>
                    <w:rPr>
                      <w:rFonts w:cs="Times New Roman"/>
                      <w:color w:val="auto"/>
                      <w:sz w:val="21"/>
                      <w:szCs w:val="20"/>
                      <w:highlight w:val="none"/>
                    </w:rPr>
                  </w:pPr>
                  <w:r>
                    <w:rPr>
                      <w:rFonts w:cs="Times New Roman"/>
                      <w:color w:val="auto"/>
                      <w:sz w:val="21"/>
                      <w:szCs w:val="20"/>
                      <w:highlight w:val="none"/>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05" w:type="pct"/>
                  <w:noWrap w:val="0"/>
                  <w:vAlign w:val="center"/>
                </w:tcPr>
                <w:p>
                  <w:pPr>
                    <w:pStyle w:val="63"/>
                    <w:rPr>
                      <w:rFonts w:cs="Times New Roman"/>
                      <w:color w:val="auto"/>
                      <w:sz w:val="21"/>
                      <w:szCs w:val="20"/>
                      <w:highlight w:val="none"/>
                    </w:rPr>
                  </w:pPr>
                  <w:r>
                    <w:rPr>
                      <w:rFonts w:cs="Times New Roman"/>
                      <w:color w:val="auto"/>
                      <w:sz w:val="21"/>
                      <w:szCs w:val="20"/>
                      <w:highlight w:val="none"/>
                    </w:rPr>
                    <w:t>北厂界</w:t>
                  </w:r>
                </w:p>
              </w:tc>
              <w:tc>
                <w:tcPr>
                  <w:tcW w:w="770" w:type="pct"/>
                  <w:noWrap w:val="0"/>
                  <w:vAlign w:val="center"/>
                </w:tcPr>
                <w:p>
                  <w:pPr>
                    <w:pStyle w:val="63"/>
                    <w:rPr>
                      <w:rFonts w:cs="Times New Roman"/>
                      <w:color w:val="auto"/>
                      <w:sz w:val="21"/>
                      <w:szCs w:val="20"/>
                      <w:highlight w:val="none"/>
                    </w:rPr>
                  </w:pPr>
                  <w:r>
                    <w:rPr>
                      <w:rFonts w:cs="Times New Roman"/>
                      <w:color w:val="auto"/>
                      <w:sz w:val="21"/>
                      <w:szCs w:val="20"/>
                      <w:highlight w:val="none"/>
                    </w:rPr>
                    <w:t>昼</w:t>
                  </w:r>
                </w:p>
              </w:tc>
              <w:tc>
                <w:tcPr>
                  <w:tcW w:w="770" w:type="pct"/>
                  <w:noWrap w:val="0"/>
                  <w:vAlign w:val="center"/>
                </w:tcPr>
                <w:p>
                  <w:pPr>
                    <w:pStyle w:val="63"/>
                    <w:rPr>
                      <w:rFonts w:hint="eastAsia" w:cs="Times New Roman"/>
                      <w:color w:val="auto"/>
                      <w:sz w:val="21"/>
                      <w:szCs w:val="20"/>
                      <w:highlight w:val="none"/>
                      <w:lang w:val="en-US" w:eastAsia="zh-CN"/>
                    </w:rPr>
                  </w:pPr>
                  <w:r>
                    <w:rPr>
                      <w:rFonts w:hint="eastAsia" w:cs="Times New Roman"/>
                      <w:color w:val="auto"/>
                      <w:sz w:val="21"/>
                      <w:szCs w:val="20"/>
                      <w:highlight w:val="none"/>
                      <w:lang w:val="en-US" w:eastAsia="zh-CN"/>
                    </w:rPr>
                    <w:t>55.8</w:t>
                  </w:r>
                </w:p>
              </w:tc>
              <w:tc>
                <w:tcPr>
                  <w:tcW w:w="770" w:type="pct"/>
                  <w:noWrap w:val="0"/>
                  <w:vAlign w:val="center"/>
                </w:tcPr>
                <w:p>
                  <w:pPr>
                    <w:pStyle w:val="63"/>
                    <w:rPr>
                      <w:rFonts w:hint="default" w:ascii="宋体" w:hAnsi="宋体" w:eastAsia="宋体" w:cs="Times New Roman"/>
                      <w:color w:val="auto"/>
                      <w:sz w:val="21"/>
                      <w:szCs w:val="20"/>
                      <w:highlight w:val="none"/>
                      <w:lang w:val="en-US" w:eastAsia="zh-CN"/>
                    </w:rPr>
                  </w:pPr>
                  <w:r>
                    <w:rPr>
                      <w:rFonts w:hint="eastAsia" w:cs="Times New Roman"/>
                      <w:color w:val="auto"/>
                      <w:sz w:val="21"/>
                      <w:szCs w:val="20"/>
                      <w:highlight w:val="none"/>
                      <w:lang w:val="en-US" w:eastAsia="zh-CN"/>
                    </w:rPr>
                    <w:t>19.32</w:t>
                  </w:r>
                </w:p>
              </w:tc>
              <w:tc>
                <w:tcPr>
                  <w:tcW w:w="771" w:type="pct"/>
                  <w:noWrap w:val="0"/>
                  <w:vAlign w:val="center"/>
                </w:tcPr>
                <w:p>
                  <w:pPr>
                    <w:pStyle w:val="63"/>
                    <w:rPr>
                      <w:rFonts w:hint="default" w:ascii="宋体" w:hAnsi="宋体" w:eastAsia="宋体" w:cs="Times New Roman"/>
                      <w:b w:val="0"/>
                      <w:bCs w:val="0"/>
                      <w:color w:val="auto"/>
                      <w:kern w:val="0"/>
                      <w:sz w:val="21"/>
                      <w:szCs w:val="20"/>
                      <w:highlight w:val="none"/>
                      <w:vertAlign w:val="baseline"/>
                      <w:lang w:val="en-US" w:eastAsia="zh-CN" w:bidi="ar-SA"/>
                    </w:rPr>
                  </w:pPr>
                  <w:r>
                    <w:rPr>
                      <w:rFonts w:hint="eastAsia" w:cs="Times New Roman"/>
                      <w:b w:val="0"/>
                      <w:bCs w:val="0"/>
                      <w:color w:val="auto"/>
                      <w:kern w:val="0"/>
                      <w:sz w:val="21"/>
                      <w:szCs w:val="20"/>
                      <w:highlight w:val="none"/>
                      <w:vertAlign w:val="baseline"/>
                      <w:lang w:val="en-US" w:eastAsia="zh-CN" w:bidi="ar-SA"/>
                    </w:rPr>
                    <w:t>55.8</w:t>
                  </w:r>
                </w:p>
              </w:tc>
              <w:tc>
                <w:tcPr>
                  <w:tcW w:w="771" w:type="pct"/>
                  <w:vMerge w:val="continue"/>
                  <w:noWrap w:val="0"/>
                  <w:vAlign w:val="center"/>
                </w:tcPr>
                <w:p>
                  <w:pPr>
                    <w:pStyle w:val="63"/>
                    <w:ind w:firstLine="0" w:firstLineChars="0"/>
                    <w:rPr>
                      <w:rFonts w:hint="default" w:ascii="宋体" w:hAnsi="宋体" w:eastAsia="宋体" w:cs="Times New Roman"/>
                      <w:color w:val="auto"/>
                      <w:sz w:val="21"/>
                      <w:szCs w:val="20"/>
                      <w:highlight w:val="none"/>
                      <w:lang w:val="en-US" w:eastAsia="zh-CN"/>
                    </w:rPr>
                  </w:pPr>
                </w:p>
              </w:tc>
              <w:tc>
                <w:tcPr>
                  <w:tcW w:w="639" w:type="pct"/>
                  <w:noWrap w:val="0"/>
                  <w:vAlign w:val="center"/>
                </w:tcPr>
                <w:p>
                  <w:pPr>
                    <w:pStyle w:val="63"/>
                    <w:rPr>
                      <w:rFonts w:cs="Times New Roman"/>
                      <w:color w:val="auto"/>
                      <w:sz w:val="21"/>
                      <w:szCs w:val="20"/>
                      <w:highlight w:val="none"/>
                    </w:rPr>
                  </w:pPr>
                  <w:r>
                    <w:rPr>
                      <w:rFonts w:cs="Times New Roman"/>
                      <w:color w:val="auto"/>
                      <w:sz w:val="21"/>
                      <w:szCs w:val="20"/>
                      <w:highlight w:val="none"/>
                    </w:rPr>
                    <w:t>达标</w:t>
                  </w:r>
                </w:p>
              </w:tc>
            </w:tr>
          </w:tbl>
          <w:p>
            <w:pPr>
              <w:bidi w:val="0"/>
              <w:ind w:firstLine="480" w:firstLineChars="200"/>
              <w:jc w:val="both"/>
              <w:rPr>
                <w:rFonts w:hint="eastAsia"/>
                <w:color w:val="auto"/>
                <w:highlight w:val="none"/>
                <w:lang w:val="en-US" w:eastAsia="zh-CN"/>
              </w:rPr>
            </w:pPr>
            <w:r>
              <w:rPr>
                <w:rFonts w:hint="eastAsia"/>
                <w:color w:val="auto"/>
                <w:highlight w:val="none"/>
                <w:lang w:val="en-US" w:eastAsia="zh-CN"/>
              </w:rPr>
              <w:t>注：本项目现有工程昼间背景值来源于年度监测报告</w:t>
            </w:r>
            <w:r>
              <w:rPr>
                <w:rFonts w:hint="eastAsia" w:cs="Times New Roman"/>
                <w:color w:val="auto"/>
                <w:highlight w:val="none"/>
                <w:lang w:val="en-US" w:eastAsia="zh-CN"/>
              </w:rPr>
              <w:t>（酝熙WT检字第[202207-65]），由于东南北三个厂界均为其他企业，未进行噪声值的监测，因此本项目东南北三个厂界均参照西厂界噪声值给出。</w:t>
            </w:r>
          </w:p>
          <w:p>
            <w:pPr>
              <w:bidi w:val="0"/>
              <w:ind w:firstLine="480" w:firstLineChars="200"/>
              <w:jc w:val="both"/>
              <w:rPr>
                <w:rFonts w:hint="default"/>
                <w:color w:val="auto"/>
                <w:highlight w:val="none"/>
              </w:rPr>
            </w:pPr>
            <w:r>
              <w:rPr>
                <w:rFonts w:hint="default"/>
                <w:color w:val="auto"/>
                <w:highlight w:val="none"/>
              </w:rPr>
              <w:t>由上表可知，设备噪声对厂界</w:t>
            </w:r>
            <w:r>
              <w:rPr>
                <w:rFonts w:hint="eastAsia"/>
                <w:color w:val="auto"/>
                <w:highlight w:val="none"/>
                <w:lang w:val="en-US" w:eastAsia="zh-CN"/>
              </w:rPr>
              <w:t>昼间贡献值</w:t>
            </w:r>
            <w:r>
              <w:rPr>
                <w:rFonts w:hint="default"/>
                <w:color w:val="auto"/>
                <w:highlight w:val="none"/>
              </w:rPr>
              <w:t>为</w:t>
            </w:r>
            <w:r>
              <w:rPr>
                <w:rFonts w:hint="eastAsia"/>
                <w:color w:val="auto"/>
                <w:highlight w:val="none"/>
                <w:lang w:val="en-US" w:eastAsia="zh-CN"/>
              </w:rPr>
              <w:t>7.92～46.59</w:t>
            </w:r>
            <w:r>
              <w:rPr>
                <w:rFonts w:hint="default"/>
                <w:color w:val="auto"/>
                <w:highlight w:val="none"/>
              </w:rPr>
              <w:t>dB(A)</w:t>
            </w:r>
            <w:r>
              <w:rPr>
                <w:rFonts w:hint="eastAsia"/>
                <w:color w:val="auto"/>
                <w:highlight w:val="none"/>
                <w:lang w:eastAsia="zh-CN"/>
              </w:rPr>
              <w:t>，</w:t>
            </w:r>
            <w:r>
              <w:rPr>
                <w:rFonts w:hint="eastAsia"/>
                <w:color w:val="auto"/>
                <w:highlight w:val="none"/>
                <w:lang w:val="en-US" w:eastAsia="zh-CN"/>
              </w:rPr>
              <w:t>昼间预测值为55.8～56.29</w:t>
            </w:r>
            <w:r>
              <w:rPr>
                <w:rFonts w:hint="default"/>
                <w:color w:val="auto"/>
                <w:highlight w:val="none"/>
              </w:rPr>
              <w:t>dB(A)</w:t>
            </w:r>
            <w:r>
              <w:rPr>
                <w:rFonts w:hint="eastAsia"/>
                <w:color w:val="auto"/>
                <w:highlight w:val="none"/>
                <w:lang w:eastAsia="zh-CN"/>
              </w:rPr>
              <w:t>，</w:t>
            </w:r>
            <w:r>
              <w:rPr>
                <w:rFonts w:hint="eastAsia"/>
                <w:color w:val="auto"/>
                <w:highlight w:val="none"/>
                <w:lang w:val="en-US" w:eastAsia="zh-CN"/>
              </w:rPr>
              <w:t>均满足标准。</w:t>
            </w:r>
            <w:r>
              <w:rPr>
                <w:rFonts w:hint="default"/>
                <w:color w:val="auto"/>
                <w:highlight w:val="none"/>
              </w:rPr>
              <w:t>本项目选用低噪声设备，对产生噪声设备采取了基础减振、</w:t>
            </w:r>
            <w:r>
              <w:rPr>
                <w:rFonts w:hint="eastAsia"/>
                <w:color w:val="auto"/>
                <w:highlight w:val="none"/>
                <w:lang w:val="en-US" w:eastAsia="zh-CN"/>
              </w:rPr>
              <w:t>车间密闭、厂房隔声</w:t>
            </w:r>
            <w:r>
              <w:rPr>
                <w:rFonts w:hint="default"/>
                <w:color w:val="auto"/>
                <w:highlight w:val="none"/>
              </w:rPr>
              <w:t>等措施，再经距离衰减后厂界噪声能够满足《工业企业厂界环境噪声排放标准》(GB12348-2008)</w:t>
            </w:r>
            <w:r>
              <w:rPr>
                <w:rFonts w:hint="eastAsia"/>
                <w:color w:val="auto"/>
                <w:highlight w:val="none"/>
                <w:lang w:val="en-US" w:eastAsia="zh-CN"/>
              </w:rPr>
              <w:t>2</w:t>
            </w:r>
            <w:r>
              <w:rPr>
                <w:rFonts w:hint="default"/>
                <w:color w:val="auto"/>
                <w:highlight w:val="none"/>
              </w:rPr>
              <w:t>类标准要求。因此，项目运营期噪声对声环境的影响较小。</w:t>
            </w:r>
          </w:p>
          <w:p>
            <w:pPr>
              <w:pStyle w:val="45"/>
              <w:bidi w:val="0"/>
              <w:rPr>
                <w:rFonts w:hint="default"/>
                <w:color w:val="auto"/>
                <w:highlight w:val="none"/>
                <w:lang w:val="en-US" w:eastAsia="zh-CN"/>
              </w:rPr>
            </w:pPr>
            <w:r>
              <w:rPr>
                <w:rFonts w:hint="default"/>
                <w:color w:val="auto"/>
                <w:highlight w:val="none"/>
                <w:lang w:val="en-US" w:eastAsia="zh-CN"/>
              </w:rPr>
              <w:t>表</w:t>
            </w:r>
            <w:r>
              <w:rPr>
                <w:rFonts w:hint="eastAsia"/>
                <w:color w:val="auto"/>
                <w:highlight w:val="none"/>
                <w:lang w:val="en-US" w:eastAsia="zh-CN"/>
              </w:rPr>
              <w:t>4-6</w:t>
            </w:r>
            <w:r>
              <w:rPr>
                <w:rFonts w:hint="default"/>
                <w:color w:val="auto"/>
                <w:highlight w:val="none"/>
                <w:lang w:val="en-US" w:eastAsia="zh-CN"/>
              </w:rPr>
              <w:t xml:space="preserve"> 监测要求一览表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2948"/>
              <w:gridCol w:w="2021"/>
              <w:gridCol w:w="21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2" w:type="dxa"/>
                  <w:noWrap w:val="0"/>
                  <w:vAlign w:val="center"/>
                </w:tcPr>
                <w:p>
                  <w:pPr>
                    <w:pStyle w:val="63"/>
                    <w:bidi w:val="0"/>
                    <w:rPr>
                      <w:rFonts w:hint="default"/>
                      <w:color w:val="auto"/>
                      <w:highlight w:val="none"/>
                      <w:lang w:val="en-US" w:eastAsia="zh-CN"/>
                    </w:rPr>
                  </w:pPr>
                  <w:r>
                    <w:rPr>
                      <w:rFonts w:hint="default"/>
                      <w:color w:val="auto"/>
                      <w:highlight w:val="none"/>
                      <w:lang w:val="en-US" w:eastAsia="zh-CN"/>
                    </w:rPr>
                    <w:t>监测项目</w:t>
                  </w:r>
                </w:p>
              </w:tc>
              <w:tc>
                <w:tcPr>
                  <w:tcW w:w="2802" w:type="dxa"/>
                  <w:noWrap w:val="0"/>
                  <w:vAlign w:val="center"/>
                </w:tcPr>
                <w:p>
                  <w:pPr>
                    <w:pStyle w:val="63"/>
                    <w:bidi w:val="0"/>
                    <w:rPr>
                      <w:rFonts w:hint="default"/>
                      <w:color w:val="auto"/>
                      <w:highlight w:val="none"/>
                      <w:lang w:val="en-US" w:eastAsia="zh-CN"/>
                    </w:rPr>
                  </w:pPr>
                  <w:r>
                    <w:rPr>
                      <w:rFonts w:hint="default"/>
                      <w:color w:val="auto"/>
                      <w:highlight w:val="none"/>
                      <w:lang w:val="en-US" w:eastAsia="zh-CN"/>
                    </w:rPr>
                    <w:t>监测点位</w:t>
                  </w:r>
                </w:p>
              </w:tc>
              <w:tc>
                <w:tcPr>
                  <w:tcW w:w="1920" w:type="dxa"/>
                  <w:noWrap w:val="0"/>
                  <w:vAlign w:val="center"/>
                </w:tcPr>
                <w:p>
                  <w:pPr>
                    <w:pStyle w:val="63"/>
                    <w:bidi w:val="0"/>
                    <w:rPr>
                      <w:rFonts w:hint="default"/>
                      <w:color w:val="auto"/>
                      <w:highlight w:val="none"/>
                      <w:lang w:val="en-US" w:eastAsia="zh-CN"/>
                    </w:rPr>
                  </w:pPr>
                  <w:r>
                    <w:rPr>
                      <w:rFonts w:hint="default"/>
                      <w:color w:val="auto"/>
                      <w:highlight w:val="none"/>
                      <w:lang w:val="en-US" w:eastAsia="zh-CN"/>
                    </w:rPr>
                    <w:t>监测因子</w:t>
                  </w:r>
                </w:p>
              </w:tc>
              <w:tc>
                <w:tcPr>
                  <w:tcW w:w="2003" w:type="dxa"/>
                  <w:noWrap w:val="0"/>
                  <w:vAlign w:val="center"/>
                </w:tcPr>
                <w:p>
                  <w:pPr>
                    <w:pStyle w:val="63"/>
                    <w:bidi w:val="0"/>
                    <w:rPr>
                      <w:rFonts w:hint="default"/>
                      <w:color w:val="auto"/>
                      <w:highlight w:val="none"/>
                      <w:lang w:val="en-US" w:eastAsia="zh-CN"/>
                    </w:rPr>
                  </w:pPr>
                  <w:r>
                    <w:rPr>
                      <w:rFonts w:hint="default"/>
                      <w:color w:val="auto"/>
                      <w:highlight w:val="none"/>
                      <w:lang w:val="en-US" w:eastAsia="zh-CN"/>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12" w:type="dxa"/>
                  <w:noWrap w:val="0"/>
                  <w:vAlign w:val="center"/>
                </w:tcPr>
                <w:p>
                  <w:pPr>
                    <w:pStyle w:val="63"/>
                    <w:bidi w:val="0"/>
                    <w:rPr>
                      <w:rFonts w:hint="default"/>
                      <w:color w:val="auto"/>
                      <w:highlight w:val="none"/>
                      <w:lang w:val="en-US" w:eastAsia="zh-CN"/>
                    </w:rPr>
                  </w:pPr>
                  <w:r>
                    <w:rPr>
                      <w:rFonts w:hint="default"/>
                      <w:color w:val="auto"/>
                      <w:highlight w:val="none"/>
                      <w:lang w:val="en-US" w:eastAsia="zh-CN"/>
                    </w:rPr>
                    <w:t>噪声</w:t>
                  </w:r>
                </w:p>
              </w:tc>
              <w:tc>
                <w:tcPr>
                  <w:tcW w:w="2802" w:type="dxa"/>
                  <w:noWrap w:val="0"/>
                  <w:vAlign w:val="center"/>
                </w:tcPr>
                <w:p>
                  <w:pPr>
                    <w:pStyle w:val="63"/>
                    <w:bidi w:val="0"/>
                    <w:rPr>
                      <w:rFonts w:hint="default"/>
                      <w:color w:val="auto"/>
                      <w:highlight w:val="none"/>
                      <w:lang w:val="en-US" w:eastAsia="zh-CN"/>
                    </w:rPr>
                  </w:pPr>
                  <w:r>
                    <w:rPr>
                      <w:rFonts w:hint="default"/>
                      <w:color w:val="auto"/>
                      <w:highlight w:val="none"/>
                      <w:lang w:val="en-US" w:eastAsia="zh-CN"/>
                    </w:rPr>
                    <w:t>东、西、南、北厂界外1米</w:t>
                  </w:r>
                </w:p>
              </w:tc>
              <w:tc>
                <w:tcPr>
                  <w:tcW w:w="1920" w:type="dxa"/>
                  <w:noWrap w:val="0"/>
                  <w:vAlign w:val="center"/>
                </w:tcPr>
                <w:p>
                  <w:pPr>
                    <w:pStyle w:val="63"/>
                    <w:bidi w:val="0"/>
                    <w:rPr>
                      <w:rFonts w:hint="default"/>
                      <w:color w:val="auto"/>
                      <w:highlight w:val="none"/>
                      <w:lang w:val="en-US" w:eastAsia="zh-CN"/>
                    </w:rPr>
                  </w:pPr>
                  <w:r>
                    <w:rPr>
                      <w:rFonts w:hint="default"/>
                      <w:color w:val="auto"/>
                      <w:highlight w:val="none"/>
                      <w:lang w:val="en-US" w:eastAsia="zh-CN"/>
                    </w:rPr>
                    <w:t>等效A声级</w:t>
                  </w:r>
                </w:p>
              </w:tc>
              <w:tc>
                <w:tcPr>
                  <w:tcW w:w="2003" w:type="dxa"/>
                  <w:noWrap w:val="0"/>
                  <w:vAlign w:val="center"/>
                </w:tcPr>
                <w:p>
                  <w:pPr>
                    <w:pStyle w:val="63"/>
                    <w:bidi w:val="0"/>
                    <w:rPr>
                      <w:rFonts w:hint="default"/>
                      <w:color w:val="auto"/>
                      <w:highlight w:val="none"/>
                      <w:lang w:val="en-US" w:eastAsia="zh-CN"/>
                    </w:rPr>
                  </w:pPr>
                  <w:r>
                    <w:rPr>
                      <w:rFonts w:hint="default"/>
                      <w:color w:val="auto"/>
                      <w:highlight w:val="none"/>
                      <w:lang w:val="en-US" w:eastAsia="zh-CN"/>
                    </w:rPr>
                    <w:t>每季度一次</w:t>
                  </w:r>
                </w:p>
              </w:tc>
            </w:tr>
          </w:tbl>
          <w:p>
            <w:pPr>
              <w:pStyle w:val="7"/>
              <w:rPr>
                <w:rFonts w:hint="default"/>
                <w:color w:val="auto"/>
                <w:highlight w:val="none"/>
              </w:rPr>
            </w:pPr>
            <w:r>
              <w:rPr>
                <w:rFonts w:hint="default"/>
                <w:color w:val="auto"/>
                <w:highlight w:val="none"/>
              </w:rPr>
              <w:t>4 固废环境影响分析</w:t>
            </w:r>
          </w:p>
          <w:p>
            <w:pPr>
              <w:spacing w:line="360" w:lineRule="auto"/>
              <w:ind w:firstLine="480" w:firstLineChars="200"/>
              <w:rPr>
                <w:rFonts w:hint="eastAsia"/>
                <w:color w:val="auto"/>
                <w:highlight w:val="none"/>
                <w:lang w:eastAsia="zh-CN"/>
              </w:rPr>
            </w:pPr>
            <w:r>
              <w:rPr>
                <w:rFonts w:hint="default"/>
                <w:color w:val="auto"/>
                <w:highlight w:val="none"/>
              </w:rPr>
              <w:t>本项目固体废物主要为一般工业固体废物、危险废物</w:t>
            </w:r>
            <w:r>
              <w:rPr>
                <w:rFonts w:hint="eastAsia"/>
                <w:color w:val="auto"/>
                <w:highlight w:val="none"/>
                <w:lang w:eastAsia="zh-CN"/>
              </w:rPr>
              <w:t>。</w:t>
            </w:r>
          </w:p>
          <w:p>
            <w:pPr>
              <w:pStyle w:val="8"/>
              <w:rPr>
                <w:rFonts w:hint="default"/>
                <w:color w:val="auto"/>
                <w:highlight w:val="none"/>
              </w:rPr>
            </w:pPr>
            <w:r>
              <w:rPr>
                <w:rFonts w:hint="default"/>
                <w:color w:val="auto"/>
                <w:highlight w:val="none"/>
              </w:rPr>
              <w:t>4.1 一般工业固体废物</w:t>
            </w:r>
          </w:p>
          <w:p>
            <w:pPr>
              <w:ind w:firstLine="480" w:firstLineChars="200"/>
              <w:rPr>
                <w:rFonts w:hint="default"/>
                <w:color w:val="auto"/>
                <w:highlight w:val="none"/>
              </w:rPr>
            </w:pPr>
            <w:r>
              <w:rPr>
                <w:rFonts w:hint="default"/>
                <w:color w:val="auto"/>
                <w:highlight w:val="none"/>
              </w:rPr>
              <w:t>本项目生产过程中产生的</w:t>
            </w:r>
            <w:r>
              <w:rPr>
                <w:rFonts w:hint="eastAsia"/>
                <w:color w:val="auto"/>
                <w:highlight w:val="none"/>
                <w:lang w:val="en-US" w:eastAsia="zh-CN"/>
              </w:rPr>
              <w:t>废</w:t>
            </w:r>
            <w:r>
              <w:rPr>
                <w:rFonts w:hint="default"/>
                <w:color w:val="auto"/>
                <w:highlight w:val="none"/>
                <w:lang w:val="en-US" w:eastAsia="zh-CN"/>
              </w:rPr>
              <w:t>边角料属</w:t>
            </w:r>
            <w:r>
              <w:rPr>
                <w:rFonts w:hint="default"/>
                <w:color w:val="auto"/>
                <w:highlight w:val="none"/>
              </w:rPr>
              <w:t>于一般</w:t>
            </w:r>
            <w:r>
              <w:rPr>
                <w:rFonts w:hint="eastAsia"/>
                <w:color w:val="auto"/>
                <w:highlight w:val="none"/>
                <w:lang w:val="en-US" w:eastAsia="zh-CN"/>
              </w:rPr>
              <w:t>工业</w:t>
            </w:r>
            <w:r>
              <w:rPr>
                <w:rFonts w:hint="default"/>
                <w:color w:val="auto"/>
                <w:highlight w:val="none"/>
              </w:rPr>
              <w:t>固废，统一回收</w:t>
            </w:r>
            <w:r>
              <w:rPr>
                <w:rFonts w:hint="eastAsia"/>
                <w:color w:val="auto"/>
                <w:highlight w:val="none"/>
                <w:lang w:val="en-US" w:eastAsia="zh-CN"/>
              </w:rPr>
              <w:t>至厂区一般工业</w:t>
            </w:r>
            <w:r>
              <w:rPr>
                <w:rFonts w:hint="default"/>
                <w:color w:val="auto"/>
                <w:highlight w:val="none"/>
              </w:rPr>
              <w:t>固废暂存</w:t>
            </w:r>
            <w:r>
              <w:rPr>
                <w:rFonts w:hint="eastAsia"/>
                <w:color w:val="auto"/>
                <w:highlight w:val="none"/>
                <w:lang w:val="en-US" w:eastAsia="zh-CN"/>
              </w:rPr>
              <w:t>区</w:t>
            </w:r>
            <w:r>
              <w:rPr>
                <w:rFonts w:hint="default"/>
                <w:color w:val="auto"/>
                <w:highlight w:val="none"/>
              </w:rPr>
              <w:t>，定期外售。</w:t>
            </w:r>
          </w:p>
          <w:p>
            <w:pPr>
              <w:pStyle w:val="45"/>
              <w:rPr>
                <w:rFonts w:hint="default"/>
                <w:color w:val="auto"/>
                <w:highlight w:val="none"/>
              </w:rPr>
            </w:pPr>
            <w:r>
              <w:rPr>
                <w:rFonts w:hint="default"/>
                <w:color w:val="auto"/>
                <w:highlight w:val="none"/>
              </w:rPr>
              <w:t>表</w:t>
            </w:r>
            <w:r>
              <w:rPr>
                <w:rFonts w:hint="eastAsia"/>
                <w:color w:val="auto"/>
                <w:highlight w:val="none"/>
                <w:lang w:val="en-US" w:eastAsia="zh-CN"/>
              </w:rPr>
              <w:t xml:space="preserve">4-7 </w:t>
            </w:r>
            <w:r>
              <w:rPr>
                <w:rFonts w:hint="default"/>
                <w:color w:val="auto"/>
                <w:highlight w:val="none"/>
              </w:rPr>
              <w:t>固体废物产生情况汇总表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814"/>
              <w:gridCol w:w="1275"/>
              <w:gridCol w:w="1116"/>
              <w:gridCol w:w="1174"/>
              <w:gridCol w:w="22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2" w:type="dxa"/>
                  <w:noWrap w:val="0"/>
                  <w:vAlign w:val="center"/>
                </w:tcPr>
                <w:p>
                  <w:pPr>
                    <w:pStyle w:val="63"/>
                    <w:rPr>
                      <w:rFonts w:hint="default"/>
                      <w:color w:val="auto"/>
                      <w:highlight w:val="none"/>
                    </w:rPr>
                  </w:pPr>
                  <w:r>
                    <w:rPr>
                      <w:rFonts w:hint="default"/>
                      <w:color w:val="auto"/>
                      <w:highlight w:val="none"/>
                    </w:rPr>
                    <w:t>序号</w:t>
                  </w:r>
                </w:p>
              </w:tc>
              <w:tc>
                <w:tcPr>
                  <w:tcW w:w="1815" w:type="dxa"/>
                  <w:noWrap w:val="0"/>
                  <w:vAlign w:val="center"/>
                </w:tcPr>
                <w:p>
                  <w:pPr>
                    <w:pStyle w:val="63"/>
                    <w:rPr>
                      <w:rFonts w:hint="default"/>
                      <w:color w:val="auto"/>
                      <w:highlight w:val="none"/>
                    </w:rPr>
                  </w:pPr>
                  <w:r>
                    <w:rPr>
                      <w:rFonts w:hint="default"/>
                      <w:color w:val="auto"/>
                      <w:highlight w:val="none"/>
                    </w:rPr>
                    <w:t>名称</w:t>
                  </w:r>
                </w:p>
              </w:tc>
              <w:tc>
                <w:tcPr>
                  <w:tcW w:w="1275" w:type="dxa"/>
                  <w:noWrap w:val="0"/>
                  <w:vAlign w:val="center"/>
                </w:tcPr>
                <w:p>
                  <w:pPr>
                    <w:pStyle w:val="63"/>
                    <w:rPr>
                      <w:rFonts w:hint="eastAsia" w:eastAsia="宋体"/>
                      <w:color w:val="auto"/>
                      <w:highlight w:val="none"/>
                      <w:lang w:val="en-US" w:eastAsia="zh-CN"/>
                    </w:rPr>
                  </w:pPr>
                  <w:r>
                    <w:rPr>
                      <w:rFonts w:hint="eastAsia"/>
                      <w:color w:val="auto"/>
                      <w:highlight w:val="none"/>
                      <w:lang w:val="en-US" w:eastAsia="zh-CN"/>
                    </w:rPr>
                    <w:t>代码</w:t>
                  </w:r>
                </w:p>
              </w:tc>
              <w:tc>
                <w:tcPr>
                  <w:tcW w:w="1116" w:type="dxa"/>
                  <w:noWrap w:val="0"/>
                  <w:vAlign w:val="center"/>
                </w:tcPr>
                <w:p>
                  <w:pPr>
                    <w:pStyle w:val="63"/>
                    <w:rPr>
                      <w:rFonts w:hint="default"/>
                      <w:color w:val="auto"/>
                      <w:highlight w:val="none"/>
                    </w:rPr>
                  </w:pPr>
                  <w:r>
                    <w:rPr>
                      <w:rFonts w:hint="default"/>
                      <w:color w:val="auto"/>
                      <w:highlight w:val="none"/>
                    </w:rPr>
                    <w:t>产生节点</w:t>
                  </w:r>
                </w:p>
              </w:tc>
              <w:tc>
                <w:tcPr>
                  <w:tcW w:w="1174" w:type="dxa"/>
                  <w:noWrap w:val="0"/>
                  <w:vAlign w:val="center"/>
                </w:tcPr>
                <w:p>
                  <w:pPr>
                    <w:pStyle w:val="63"/>
                    <w:rPr>
                      <w:rFonts w:hint="default" w:ascii="宋体" w:hAnsi="宋体" w:eastAsia="宋体" w:cs="Times New Roman"/>
                      <w:color w:val="auto"/>
                      <w:highlight w:val="none"/>
                      <w:lang w:val="en-US" w:eastAsia="zh-CN"/>
                    </w:rPr>
                  </w:pPr>
                  <w:r>
                    <w:rPr>
                      <w:rFonts w:hint="default" w:ascii="宋体" w:hAnsi="宋体" w:eastAsia="宋体" w:cs="Times New Roman"/>
                      <w:color w:val="auto"/>
                      <w:highlight w:val="none"/>
                      <w:lang w:val="en-US" w:eastAsia="zh-CN"/>
                    </w:rPr>
                    <w:t>产生量</w:t>
                  </w:r>
                </w:p>
              </w:tc>
              <w:tc>
                <w:tcPr>
                  <w:tcW w:w="2290" w:type="dxa"/>
                  <w:noWrap w:val="0"/>
                  <w:vAlign w:val="center"/>
                </w:tcPr>
                <w:p>
                  <w:pPr>
                    <w:pStyle w:val="63"/>
                    <w:rPr>
                      <w:rFonts w:hint="default" w:ascii="宋体" w:hAnsi="宋体" w:eastAsia="宋体" w:cs="Times New Roman"/>
                      <w:color w:val="auto"/>
                      <w:highlight w:val="none"/>
                      <w:lang w:val="en-US" w:eastAsia="zh-CN"/>
                    </w:rPr>
                  </w:pPr>
                  <w:r>
                    <w:rPr>
                      <w:rFonts w:hint="default" w:ascii="宋体" w:hAnsi="宋体" w:eastAsia="宋体" w:cs="Times New Roman"/>
                      <w:color w:val="auto"/>
                      <w:highlight w:val="none"/>
                      <w:lang w:val="en-US" w:eastAsia="zh-CN"/>
                    </w:rPr>
                    <w:t>处置方式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2" w:type="dxa"/>
                  <w:noWrap w:val="0"/>
                  <w:vAlign w:val="center"/>
                </w:tcPr>
                <w:p>
                  <w:pPr>
                    <w:pStyle w:val="63"/>
                    <w:rPr>
                      <w:rFonts w:hint="default"/>
                      <w:color w:val="auto"/>
                      <w:highlight w:val="none"/>
                    </w:rPr>
                  </w:pPr>
                  <w:r>
                    <w:rPr>
                      <w:rFonts w:hint="default"/>
                      <w:color w:val="auto"/>
                      <w:highlight w:val="none"/>
                    </w:rPr>
                    <w:t>1</w:t>
                  </w:r>
                </w:p>
              </w:tc>
              <w:tc>
                <w:tcPr>
                  <w:tcW w:w="1815" w:type="dxa"/>
                  <w:noWrap w:val="0"/>
                  <w:vAlign w:val="center"/>
                </w:tcPr>
                <w:p>
                  <w:pPr>
                    <w:pStyle w:val="63"/>
                    <w:rPr>
                      <w:rFonts w:hint="default"/>
                      <w:color w:val="auto"/>
                      <w:highlight w:val="none"/>
                      <w:lang w:eastAsia="zh-CN"/>
                    </w:rPr>
                  </w:pPr>
                  <w:r>
                    <w:rPr>
                      <w:rFonts w:hint="eastAsia"/>
                      <w:color w:val="auto"/>
                      <w:highlight w:val="none"/>
                      <w:lang w:val="en-US" w:eastAsia="zh-CN"/>
                    </w:rPr>
                    <w:t>废</w:t>
                  </w:r>
                  <w:r>
                    <w:rPr>
                      <w:rFonts w:hint="default"/>
                      <w:color w:val="auto"/>
                      <w:highlight w:val="none"/>
                      <w:lang w:val="en-US" w:eastAsia="zh-CN"/>
                    </w:rPr>
                    <w:t>边角料</w:t>
                  </w:r>
                </w:p>
              </w:tc>
              <w:tc>
                <w:tcPr>
                  <w:tcW w:w="1275" w:type="dxa"/>
                  <w:noWrap w:val="0"/>
                  <w:vAlign w:val="center"/>
                </w:tcPr>
                <w:p>
                  <w:pPr>
                    <w:pStyle w:val="63"/>
                    <w:rPr>
                      <w:rFonts w:hint="default" w:ascii="宋体" w:hAnsi="宋体" w:eastAsia="宋体" w:cs="Times New Roman"/>
                      <w:color w:val="auto"/>
                      <w:szCs w:val="21"/>
                      <w:highlight w:val="none"/>
                      <w:lang w:val="en-US" w:eastAsia="zh-CN"/>
                    </w:rPr>
                  </w:pPr>
                  <w:r>
                    <w:rPr>
                      <w:rFonts w:hint="eastAsia" w:ascii="宋体" w:hAnsi="宋体" w:eastAsia="宋体" w:cs="Times New Roman"/>
                      <w:color w:val="auto"/>
                      <w:szCs w:val="21"/>
                      <w:highlight w:val="none"/>
                      <w:lang w:val="en-US" w:eastAsia="zh-CN"/>
                    </w:rPr>
                    <w:t>348-009-09</w:t>
                  </w:r>
                </w:p>
              </w:tc>
              <w:tc>
                <w:tcPr>
                  <w:tcW w:w="1116" w:type="dxa"/>
                  <w:noWrap w:val="0"/>
                  <w:vAlign w:val="center"/>
                </w:tcPr>
                <w:p>
                  <w:pPr>
                    <w:pStyle w:val="63"/>
                    <w:rPr>
                      <w:rFonts w:hint="eastAsia"/>
                      <w:color w:val="auto"/>
                      <w:highlight w:val="none"/>
                      <w:lang w:eastAsia="zh-CN"/>
                    </w:rPr>
                  </w:pPr>
                  <w:r>
                    <w:rPr>
                      <w:rFonts w:hint="eastAsia"/>
                      <w:color w:val="auto"/>
                      <w:highlight w:val="none"/>
                      <w:lang w:val="en-US" w:eastAsia="zh-CN"/>
                    </w:rPr>
                    <w:t>刨铣床</w:t>
                  </w:r>
                </w:p>
              </w:tc>
              <w:tc>
                <w:tcPr>
                  <w:tcW w:w="1174" w:type="dxa"/>
                  <w:noWrap w:val="0"/>
                  <w:vAlign w:val="center"/>
                </w:tcPr>
                <w:p>
                  <w:pPr>
                    <w:pStyle w:val="63"/>
                    <w:rPr>
                      <w:rFonts w:hint="default" w:ascii="宋体" w:hAnsi="宋体" w:eastAsia="宋体" w:cs="Times New Roman"/>
                      <w:color w:val="auto"/>
                      <w:highlight w:val="none"/>
                      <w:lang w:val="en-US" w:eastAsia="zh-CN"/>
                    </w:rPr>
                  </w:pPr>
                  <w:r>
                    <w:rPr>
                      <w:rFonts w:hint="eastAsia" w:cs="Times New Roman"/>
                      <w:color w:val="auto"/>
                      <w:highlight w:val="none"/>
                      <w:lang w:val="en-US" w:eastAsia="zh-CN"/>
                    </w:rPr>
                    <w:t>20</w:t>
                  </w:r>
                  <w:r>
                    <w:rPr>
                      <w:rFonts w:hint="eastAsia" w:ascii="宋体" w:hAnsi="宋体" w:eastAsia="宋体" w:cs="Times New Roman"/>
                      <w:color w:val="auto"/>
                      <w:highlight w:val="none"/>
                      <w:lang w:val="en-US" w:eastAsia="zh-CN"/>
                    </w:rPr>
                    <w:t>t/a</w:t>
                  </w:r>
                </w:p>
              </w:tc>
              <w:tc>
                <w:tcPr>
                  <w:tcW w:w="2290" w:type="dxa"/>
                  <w:noWrap w:val="0"/>
                  <w:vAlign w:val="center"/>
                </w:tcPr>
                <w:p>
                  <w:pPr>
                    <w:pStyle w:val="63"/>
                    <w:rPr>
                      <w:rFonts w:hint="default" w:ascii="宋体" w:hAnsi="宋体" w:eastAsia="宋体" w:cs="Times New Roman"/>
                      <w:color w:val="auto"/>
                      <w:highlight w:val="none"/>
                      <w:lang w:val="en-US" w:eastAsia="zh-CN"/>
                    </w:rPr>
                  </w:pPr>
                  <w:r>
                    <w:rPr>
                      <w:rFonts w:hint="default" w:ascii="宋体" w:hAnsi="宋体" w:eastAsia="宋体" w:cs="Times New Roman"/>
                      <w:color w:val="auto"/>
                      <w:highlight w:val="none"/>
                      <w:lang w:val="en-US" w:eastAsia="zh-CN"/>
                    </w:rPr>
                    <w:t>分类暂存至</w:t>
                  </w:r>
                  <w:r>
                    <w:rPr>
                      <w:rFonts w:hint="eastAsia" w:ascii="宋体" w:hAnsi="宋体" w:eastAsia="宋体" w:cs="Times New Roman"/>
                      <w:color w:val="auto"/>
                      <w:highlight w:val="none"/>
                      <w:lang w:val="en-US" w:eastAsia="zh-CN"/>
                    </w:rPr>
                    <w:t>厂区</w:t>
                  </w:r>
                  <w:r>
                    <w:rPr>
                      <w:rFonts w:hint="default" w:ascii="宋体" w:hAnsi="宋体" w:eastAsia="宋体" w:cs="Times New Roman"/>
                      <w:color w:val="auto"/>
                      <w:highlight w:val="none"/>
                      <w:lang w:val="en-US" w:eastAsia="zh-CN"/>
                    </w:rPr>
                    <w:t>内</w:t>
                  </w:r>
                  <w:r>
                    <w:rPr>
                      <w:rFonts w:hint="eastAsia" w:ascii="宋体" w:hAnsi="宋体" w:eastAsia="宋体" w:cs="Times New Roman"/>
                      <w:color w:val="auto"/>
                      <w:highlight w:val="none"/>
                      <w:lang w:val="en-US" w:eastAsia="zh-CN"/>
                    </w:rPr>
                    <w:t>一般</w:t>
                  </w:r>
                  <w:r>
                    <w:rPr>
                      <w:rFonts w:hint="default" w:ascii="宋体" w:hAnsi="宋体" w:eastAsia="宋体" w:cs="Times New Roman"/>
                      <w:color w:val="auto"/>
                      <w:highlight w:val="none"/>
                      <w:lang w:val="en-US" w:eastAsia="zh-CN"/>
                    </w:rPr>
                    <w:t>固废</w:t>
                  </w:r>
                  <w:r>
                    <w:rPr>
                      <w:rFonts w:hint="eastAsia" w:ascii="宋体" w:hAnsi="宋体" w:eastAsia="宋体" w:cs="Times New Roman"/>
                      <w:color w:val="auto"/>
                      <w:highlight w:val="none"/>
                      <w:lang w:val="en-US" w:eastAsia="zh-CN"/>
                    </w:rPr>
                    <w:t>暂存区</w:t>
                  </w:r>
                  <w:r>
                    <w:rPr>
                      <w:rFonts w:hint="default" w:ascii="宋体" w:hAnsi="宋体" w:eastAsia="宋体" w:cs="Times New Roman"/>
                      <w:color w:val="auto"/>
                      <w:highlight w:val="none"/>
                      <w:lang w:val="en-US" w:eastAsia="zh-CN"/>
                    </w:rPr>
                    <w:t>，统一收集后定期外售</w:t>
                  </w:r>
                </w:p>
              </w:tc>
            </w:tr>
          </w:tbl>
          <w:p>
            <w:pPr>
              <w:spacing w:line="360" w:lineRule="auto"/>
              <w:ind w:firstLine="480" w:firstLineChars="200"/>
              <w:rPr>
                <w:rFonts w:hint="default" w:eastAsia="宋体"/>
                <w:color w:val="auto"/>
                <w:highlight w:val="none"/>
                <w:lang w:val="en-US" w:eastAsia="zh-CN"/>
              </w:rPr>
            </w:pPr>
            <w:r>
              <w:rPr>
                <w:rFonts w:hint="eastAsia"/>
                <w:color w:val="auto"/>
                <w:highlight w:val="none"/>
                <w:lang w:val="en-US" w:eastAsia="zh-CN"/>
              </w:rPr>
              <w:t>废边角料：</w:t>
            </w:r>
            <w:r>
              <w:rPr>
                <w:color w:val="auto"/>
                <w:highlight w:val="none"/>
              </w:rPr>
              <w:t>项目使用</w:t>
            </w:r>
            <w:r>
              <w:rPr>
                <w:rFonts w:hint="eastAsia"/>
                <w:color w:val="auto"/>
                <w:highlight w:val="none"/>
                <w:lang w:val="en-US" w:eastAsia="zh-CN"/>
              </w:rPr>
              <w:t>钢板200t/a，其中产品180t，</w:t>
            </w:r>
            <w:r>
              <w:rPr>
                <w:color w:val="auto"/>
                <w:highlight w:val="none"/>
              </w:rPr>
              <w:t>因此项目产生的</w:t>
            </w:r>
            <w:r>
              <w:rPr>
                <w:rFonts w:hint="eastAsia"/>
                <w:color w:val="auto"/>
                <w:highlight w:val="none"/>
                <w:lang w:val="en-US" w:eastAsia="zh-CN"/>
              </w:rPr>
              <w:t>废钢</w:t>
            </w:r>
            <w:r>
              <w:rPr>
                <w:color w:val="auto"/>
                <w:highlight w:val="none"/>
              </w:rPr>
              <w:t>边角料约为</w:t>
            </w:r>
            <w:r>
              <w:rPr>
                <w:rFonts w:hint="eastAsia"/>
                <w:color w:val="auto"/>
                <w:highlight w:val="none"/>
                <w:lang w:val="en-US" w:eastAsia="zh-CN"/>
              </w:rPr>
              <w:t>20</w:t>
            </w:r>
            <w:r>
              <w:rPr>
                <w:color w:val="auto"/>
                <w:highlight w:val="none"/>
              </w:rPr>
              <w:t>t。</w:t>
            </w:r>
          </w:p>
          <w:p>
            <w:pPr>
              <w:spacing w:line="360" w:lineRule="auto"/>
              <w:ind w:firstLine="480" w:firstLineChars="200"/>
              <w:rPr>
                <w:rFonts w:hint="default"/>
                <w:color w:val="auto"/>
                <w:highlight w:val="none"/>
              </w:rPr>
            </w:pPr>
            <w:r>
              <w:rPr>
                <w:rFonts w:hint="default"/>
                <w:color w:val="auto"/>
                <w:highlight w:val="none"/>
              </w:rPr>
              <w:t>一般工业固体废物执行</w:t>
            </w:r>
            <w:r>
              <w:rPr>
                <w:rFonts w:hint="eastAsia" w:ascii="Times New Roman" w:hAnsi="Times New Roman" w:eastAsia="宋体" w:cs="Times New Roman"/>
                <w:color w:val="auto"/>
                <w:highlight w:val="none"/>
              </w:rPr>
              <w:t>《一般工业固体废物贮存和填埋污染控制标准》（GB18599-2020）中的相关规定</w:t>
            </w:r>
            <w:r>
              <w:rPr>
                <w:rFonts w:hint="default"/>
                <w:color w:val="auto"/>
                <w:highlight w:val="none"/>
              </w:rPr>
              <w:t>。</w:t>
            </w:r>
          </w:p>
          <w:p>
            <w:pPr>
              <w:pStyle w:val="8"/>
              <w:rPr>
                <w:rFonts w:hint="eastAsia"/>
                <w:color w:val="auto"/>
                <w:highlight w:val="none"/>
                <w:lang w:eastAsia="zh-CN"/>
              </w:rPr>
            </w:pPr>
            <w:r>
              <w:rPr>
                <w:rFonts w:hint="default"/>
                <w:color w:val="auto"/>
                <w:highlight w:val="none"/>
              </w:rPr>
              <w:t>4.</w:t>
            </w:r>
            <w:r>
              <w:rPr>
                <w:rFonts w:hint="eastAsia"/>
                <w:color w:val="auto"/>
                <w:highlight w:val="none"/>
                <w:lang w:val="en-US" w:eastAsia="zh-CN"/>
              </w:rPr>
              <w:t>2</w:t>
            </w:r>
            <w:r>
              <w:rPr>
                <w:rFonts w:hint="default"/>
                <w:color w:val="auto"/>
                <w:highlight w:val="none"/>
              </w:rPr>
              <w:t xml:space="preserve"> </w:t>
            </w:r>
            <w:r>
              <w:rPr>
                <w:rFonts w:hint="eastAsia"/>
                <w:color w:val="auto"/>
                <w:highlight w:val="none"/>
                <w:lang w:val="en-US" w:eastAsia="zh-CN"/>
              </w:rPr>
              <w:t>危险废物</w:t>
            </w:r>
          </w:p>
          <w:p>
            <w:pPr>
              <w:spacing w:line="360" w:lineRule="auto"/>
              <w:ind w:firstLine="480" w:firstLineChars="200"/>
              <w:rPr>
                <w:rFonts w:hint="default"/>
                <w:color w:val="auto"/>
                <w:highlight w:val="none"/>
              </w:rPr>
            </w:pPr>
            <w:r>
              <w:rPr>
                <w:rFonts w:hint="default"/>
                <w:color w:val="auto"/>
                <w:highlight w:val="none"/>
              </w:rPr>
              <w:t>（1）危险废物产生情况</w:t>
            </w:r>
          </w:p>
          <w:p>
            <w:pPr>
              <w:spacing w:line="360" w:lineRule="auto"/>
              <w:ind w:firstLine="480" w:firstLineChars="200"/>
              <w:rPr>
                <w:rFonts w:hint="default"/>
                <w:color w:val="auto"/>
                <w:highlight w:val="none"/>
              </w:rPr>
            </w:pPr>
            <w:r>
              <w:rPr>
                <w:rFonts w:hint="default"/>
                <w:color w:val="auto"/>
                <w:highlight w:val="none"/>
              </w:rPr>
              <w:t>本项目产生的</w:t>
            </w:r>
            <w:r>
              <w:rPr>
                <w:rFonts w:hint="eastAsia"/>
                <w:color w:val="auto"/>
                <w:highlight w:val="none"/>
                <w:lang w:val="en-US" w:eastAsia="zh-CN"/>
              </w:rPr>
              <w:t>废导轨油桶、废切削液桶</w:t>
            </w:r>
            <w:r>
              <w:rPr>
                <w:rFonts w:hint="default"/>
                <w:color w:val="auto"/>
                <w:highlight w:val="none"/>
              </w:rPr>
              <w:t>暂存于厂</w:t>
            </w:r>
            <w:r>
              <w:rPr>
                <w:rFonts w:hint="default"/>
                <w:color w:val="auto"/>
                <w:highlight w:val="none"/>
                <w:lang w:val="en-US" w:eastAsia="zh-CN"/>
              </w:rPr>
              <w:t>区</w:t>
            </w:r>
            <w:r>
              <w:rPr>
                <w:rFonts w:hint="default"/>
                <w:color w:val="auto"/>
                <w:highlight w:val="none"/>
              </w:rPr>
              <w:t>危险废物暂存间内</w:t>
            </w:r>
            <w:r>
              <w:rPr>
                <w:rFonts w:hint="eastAsia" w:ascii="Times New Roman" w:hAnsi="Times New Roman" w:cs="Times New Roman"/>
                <w:color w:val="auto"/>
                <w:highlight w:val="none"/>
                <w:lang w:val="en-US" w:eastAsia="zh-CN"/>
              </w:rPr>
              <w:t>有资质单位定期运输并处置</w:t>
            </w:r>
            <w:r>
              <w:rPr>
                <w:rFonts w:hint="eastAsia"/>
                <w:color w:val="auto"/>
                <w:highlight w:val="none"/>
                <w:lang w:val="en-US" w:eastAsia="zh-CN"/>
              </w:rPr>
              <w:t>、废含切削液金属屑</w:t>
            </w:r>
            <w:r>
              <w:rPr>
                <w:rFonts w:hint="eastAsia" w:ascii="Times New Roman" w:hAnsi="Times New Roman" w:cs="Times New Roman"/>
                <w:color w:val="auto"/>
                <w:highlight w:val="none"/>
                <w:lang w:val="en-US" w:eastAsia="zh-CN"/>
              </w:rPr>
              <w:t>在危废间内进行沥干，切削液回用于生产，金属屑变成静置后无滴</w:t>
            </w:r>
            <w:r>
              <w:rPr>
                <w:rFonts w:hint="eastAsia" w:ascii="Times New Roman" w:hAnsi="Times New Roman" w:eastAsia="宋体" w:cs="Times New Roman"/>
                <w:color w:val="auto"/>
                <w:highlight w:val="none"/>
                <w:lang w:val="en-US" w:eastAsia="zh-CN"/>
              </w:rPr>
              <w:t>漏状态后，存放于危废间内，由相应有能力利用厂家综合利用</w:t>
            </w:r>
            <w:r>
              <w:rPr>
                <w:rFonts w:hint="default"/>
                <w:color w:val="auto"/>
                <w:highlight w:val="none"/>
              </w:rPr>
              <w:t>。</w:t>
            </w:r>
          </w:p>
          <w:p>
            <w:pPr>
              <w:spacing w:line="360" w:lineRule="auto"/>
              <w:ind w:firstLine="480" w:firstLineChars="200"/>
              <w:rPr>
                <w:rFonts w:hint="default"/>
                <w:color w:val="auto"/>
                <w:highlight w:val="none"/>
              </w:rPr>
            </w:pPr>
            <w:r>
              <w:rPr>
                <w:rFonts w:hint="default"/>
                <w:color w:val="auto"/>
                <w:highlight w:val="none"/>
              </w:rPr>
              <w:t>（2）危险废物属性判定</w:t>
            </w:r>
          </w:p>
          <w:p>
            <w:pPr>
              <w:spacing w:line="360" w:lineRule="auto"/>
              <w:ind w:firstLine="480" w:firstLineChars="200"/>
              <w:rPr>
                <w:rFonts w:hint="default"/>
                <w:color w:val="auto"/>
                <w:highlight w:val="none"/>
              </w:rPr>
            </w:pPr>
            <w:r>
              <w:rPr>
                <w:rFonts w:hint="default"/>
                <w:color w:val="auto"/>
                <w:highlight w:val="none"/>
              </w:rPr>
              <w:t>本项目根据《国家危险废物名录》的判定危险废物的类别、产生节点、代码、名称、危险特性等属性详见下表。</w:t>
            </w:r>
          </w:p>
          <w:p>
            <w:pPr>
              <w:pStyle w:val="8"/>
              <w:spacing w:line="240" w:lineRule="auto"/>
              <w:jc w:val="center"/>
              <w:rPr>
                <w:rFonts w:hint="default"/>
                <w:color w:val="auto"/>
                <w:highlight w:val="none"/>
              </w:rPr>
            </w:pPr>
            <w:r>
              <w:rPr>
                <w:rFonts w:hint="default"/>
                <w:color w:val="auto"/>
                <w:highlight w:val="none"/>
              </w:rPr>
              <w:t>表</w:t>
            </w:r>
            <w:r>
              <w:rPr>
                <w:rFonts w:hint="eastAsia"/>
                <w:color w:val="auto"/>
                <w:highlight w:val="none"/>
                <w:lang w:val="en-US" w:eastAsia="zh-CN"/>
              </w:rPr>
              <w:t>4-8</w:t>
            </w:r>
            <w:r>
              <w:rPr>
                <w:rFonts w:hint="default"/>
                <w:color w:val="auto"/>
                <w:highlight w:val="none"/>
              </w:rPr>
              <w:t xml:space="preserve"> 危险废物属性一览表</w:t>
            </w:r>
          </w:p>
          <w:tbl>
            <w:tblPr>
              <w:tblStyle w:val="32"/>
              <w:tblW w:w="84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7"/>
              <w:gridCol w:w="1319"/>
              <w:gridCol w:w="1132"/>
              <w:gridCol w:w="2586"/>
              <w:gridCol w:w="1447"/>
              <w:gridCol w:w="12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noWrap/>
                  <w:vAlign w:val="center"/>
                </w:tcPr>
                <w:p>
                  <w:pPr>
                    <w:pStyle w:val="63"/>
                    <w:rPr>
                      <w:rFonts w:hint="default"/>
                      <w:color w:val="auto"/>
                      <w:highlight w:val="none"/>
                    </w:rPr>
                  </w:pPr>
                  <w:r>
                    <w:rPr>
                      <w:rFonts w:hint="default"/>
                      <w:color w:val="auto"/>
                      <w:highlight w:val="none"/>
                    </w:rPr>
                    <w:t>序号</w:t>
                  </w:r>
                </w:p>
              </w:tc>
              <w:tc>
                <w:tcPr>
                  <w:tcW w:w="1319" w:type="dxa"/>
                  <w:noWrap/>
                  <w:vAlign w:val="center"/>
                </w:tcPr>
                <w:p>
                  <w:pPr>
                    <w:pStyle w:val="63"/>
                    <w:rPr>
                      <w:rFonts w:hint="default"/>
                      <w:color w:val="auto"/>
                      <w:highlight w:val="none"/>
                    </w:rPr>
                  </w:pPr>
                  <w:r>
                    <w:rPr>
                      <w:rFonts w:hint="default"/>
                      <w:color w:val="auto"/>
                      <w:highlight w:val="none"/>
                    </w:rPr>
                    <w:t>名称</w:t>
                  </w:r>
                </w:p>
              </w:tc>
              <w:tc>
                <w:tcPr>
                  <w:tcW w:w="1132" w:type="dxa"/>
                  <w:noWrap/>
                  <w:vAlign w:val="center"/>
                </w:tcPr>
                <w:p>
                  <w:pPr>
                    <w:pStyle w:val="63"/>
                    <w:rPr>
                      <w:rFonts w:hint="default"/>
                      <w:color w:val="auto"/>
                      <w:highlight w:val="none"/>
                    </w:rPr>
                  </w:pPr>
                  <w:r>
                    <w:rPr>
                      <w:rFonts w:hint="default"/>
                      <w:color w:val="auto"/>
                      <w:highlight w:val="none"/>
                    </w:rPr>
                    <w:t>产生节点</w:t>
                  </w:r>
                </w:p>
              </w:tc>
              <w:tc>
                <w:tcPr>
                  <w:tcW w:w="2586" w:type="dxa"/>
                  <w:noWrap/>
                  <w:vAlign w:val="center"/>
                </w:tcPr>
                <w:p>
                  <w:pPr>
                    <w:pStyle w:val="63"/>
                    <w:rPr>
                      <w:rFonts w:hint="default"/>
                      <w:color w:val="auto"/>
                      <w:highlight w:val="none"/>
                    </w:rPr>
                  </w:pPr>
                  <w:r>
                    <w:rPr>
                      <w:rFonts w:hint="default"/>
                      <w:color w:val="auto"/>
                      <w:highlight w:val="none"/>
                    </w:rPr>
                    <w:t>废物类别</w:t>
                  </w:r>
                </w:p>
              </w:tc>
              <w:tc>
                <w:tcPr>
                  <w:tcW w:w="1447" w:type="dxa"/>
                  <w:noWrap/>
                  <w:vAlign w:val="center"/>
                </w:tcPr>
                <w:p>
                  <w:pPr>
                    <w:pStyle w:val="63"/>
                    <w:rPr>
                      <w:rFonts w:hint="default"/>
                      <w:color w:val="auto"/>
                      <w:highlight w:val="none"/>
                    </w:rPr>
                  </w:pPr>
                  <w:r>
                    <w:rPr>
                      <w:rFonts w:hint="default"/>
                      <w:color w:val="auto"/>
                      <w:highlight w:val="none"/>
                    </w:rPr>
                    <w:t>废物代码</w:t>
                  </w:r>
                </w:p>
              </w:tc>
              <w:tc>
                <w:tcPr>
                  <w:tcW w:w="1208" w:type="dxa"/>
                  <w:noWrap/>
                  <w:vAlign w:val="center"/>
                </w:tcPr>
                <w:p>
                  <w:pPr>
                    <w:pStyle w:val="63"/>
                    <w:rPr>
                      <w:rFonts w:hint="default"/>
                      <w:color w:val="auto"/>
                      <w:highlight w:val="none"/>
                    </w:rPr>
                  </w:pPr>
                  <w:r>
                    <w:rPr>
                      <w:rFonts w:hint="default"/>
                      <w:color w:val="auto"/>
                      <w:highlight w:val="none"/>
                    </w:rPr>
                    <w:t>危险特性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noWrap/>
                  <w:vAlign w:val="center"/>
                </w:tcPr>
                <w:p>
                  <w:pPr>
                    <w:pStyle w:val="63"/>
                    <w:rPr>
                      <w:rFonts w:hint="eastAsia"/>
                      <w:color w:val="auto"/>
                      <w:highlight w:val="none"/>
                      <w:lang w:val="en-US" w:eastAsia="zh-CN"/>
                    </w:rPr>
                  </w:pPr>
                  <w:r>
                    <w:rPr>
                      <w:rFonts w:hint="eastAsia"/>
                      <w:color w:val="auto"/>
                      <w:highlight w:val="none"/>
                      <w:lang w:val="en-US" w:eastAsia="zh-CN"/>
                    </w:rPr>
                    <w:t>1</w:t>
                  </w:r>
                </w:p>
              </w:tc>
              <w:tc>
                <w:tcPr>
                  <w:tcW w:w="1319" w:type="dxa"/>
                  <w:noWrap/>
                  <w:vAlign w:val="center"/>
                </w:tcPr>
                <w:p>
                  <w:pPr>
                    <w:pStyle w:val="63"/>
                    <w:rPr>
                      <w:rFonts w:hint="default"/>
                      <w:color w:val="auto"/>
                      <w:highlight w:val="none"/>
                      <w:lang w:val="en-US"/>
                    </w:rPr>
                  </w:pPr>
                  <w:r>
                    <w:rPr>
                      <w:rFonts w:hint="default"/>
                      <w:color w:val="auto"/>
                      <w:highlight w:val="none"/>
                      <w:lang w:eastAsia="zh-CN"/>
                    </w:rPr>
                    <w:t>废</w:t>
                  </w:r>
                  <w:r>
                    <w:rPr>
                      <w:rFonts w:hint="eastAsia"/>
                      <w:color w:val="auto"/>
                      <w:highlight w:val="none"/>
                      <w:lang w:val="en-US" w:eastAsia="zh-CN"/>
                    </w:rPr>
                    <w:t>导轨油桶</w:t>
                  </w:r>
                </w:p>
              </w:tc>
              <w:tc>
                <w:tcPr>
                  <w:tcW w:w="1132" w:type="dxa"/>
                  <w:vMerge w:val="restart"/>
                  <w:noWrap/>
                  <w:vAlign w:val="center"/>
                </w:tcPr>
                <w:p>
                  <w:pPr>
                    <w:pStyle w:val="63"/>
                    <w:rPr>
                      <w:rFonts w:hint="default"/>
                      <w:color w:val="auto"/>
                      <w:highlight w:val="none"/>
                    </w:rPr>
                  </w:pPr>
                  <w:r>
                    <w:rPr>
                      <w:rFonts w:hint="eastAsia"/>
                      <w:color w:val="auto"/>
                      <w:highlight w:val="none"/>
                      <w:lang w:val="en-US" w:eastAsia="zh-CN"/>
                    </w:rPr>
                    <w:t>机加工</w:t>
                  </w:r>
                </w:p>
              </w:tc>
              <w:tc>
                <w:tcPr>
                  <w:tcW w:w="2586" w:type="dxa"/>
                  <w:noWrap/>
                  <w:vAlign w:val="center"/>
                </w:tcPr>
                <w:p>
                  <w:pPr>
                    <w:pStyle w:val="63"/>
                    <w:rPr>
                      <w:rFonts w:hint="default"/>
                      <w:color w:val="auto"/>
                      <w:highlight w:val="none"/>
                    </w:rPr>
                  </w:pPr>
                  <w:r>
                    <w:rPr>
                      <w:rFonts w:hint="default"/>
                      <w:color w:val="auto"/>
                      <w:highlight w:val="none"/>
                    </w:rPr>
                    <w:t>HW08（废矿物油与含矿物油废物）</w:t>
                  </w:r>
                </w:p>
              </w:tc>
              <w:tc>
                <w:tcPr>
                  <w:tcW w:w="1447" w:type="dxa"/>
                  <w:noWrap/>
                  <w:vAlign w:val="center"/>
                </w:tcPr>
                <w:p>
                  <w:pPr>
                    <w:pStyle w:val="63"/>
                    <w:rPr>
                      <w:rFonts w:hint="default"/>
                      <w:color w:val="auto"/>
                      <w:highlight w:val="none"/>
                    </w:rPr>
                  </w:pPr>
                  <w:r>
                    <w:rPr>
                      <w:rFonts w:hint="default"/>
                      <w:color w:val="auto"/>
                      <w:highlight w:val="none"/>
                    </w:rPr>
                    <w:t>900-</w:t>
                  </w:r>
                  <w:r>
                    <w:rPr>
                      <w:rFonts w:hint="default"/>
                      <w:color w:val="auto"/>
                      <w:highlight w:val="none"/>
                      <w:lang w:val="en-US" w:eastAsia="zh-CN"/>
                    </w:rPr>
                    <w:t>2</w:t>
                  </w:r>
                  <w:r>
                    <w:rPr>
                      <w:rFonts w:hint="eastAsia"/>
                      <w:color w:val="auto"/>
                      <w:highlight w:val="none"/>
                      <w:lang w:val="en-US" w:eastAsia="zh-CN"/>
                    </w:rPr>
                    <w:t>49</w:t>
                  </w:r>
                  <w:r>
                    <w:rPr>
                      <w:rFonts w:hint="default"/>
                      <w:color w:val="auto"/>
                      <w:highlight w:val="none"/>
                    </w:rPr>
                    <w:t>-0</w:t>
                  </w:r>
                  <w:r>
                    <w:rPr>
                      <w:rFonts w:hint="default"/>
                      <w:color w:val="auto"/>
                      <w:highlight w:val="none"/>
                      <w:lang w:val="en-US" w:eastAsia="zh-CN"/>
                    </w:rPr>
                    <w:t>8</w:t>
                  </w:r>
                </w:p>
              </w:tc>
              <w:tc>
                <w:tcPr>
                  <w:tcW w:w="1208" w:type="dxa"/>
                  <w:noWrap/>
                  <w:vAlign w:val="center"/>
                </w:tcPr>
                <w:p>
                  <w:pPr>
                    <w:pStyle w:val="63"/>
                    <w:rPr>
                      <w:rFonts w:hint="default"/>
                      <w:color w:val="auto"/>
                      <w:highlight w:val="none"/>
                      <w:lang w:val="en-US" w:eastAsia="zh-CN"/>
                    </w:rPr>
                  </w:pPr>
                  <w:r>
                    <w:rPr>
                      <w:rFonts w:hint="default"/>
                      <w:color w:val="auto"/>
                      <w:highlight w:val="none"/>
                    </w:rPr>
                    <w:t>T</w:t>
                  </w:r>
                  <w:r>
                    <w:rPr>
                      <w:rFonts w:hint="default"/>
                      <w:color w:val="auto"/>
                      <w:highlight w:val="none"/>
                      <w:lang w:eastAsia="zh-CN"/>
                    </w:rPr>
                    <w:t>、</w:t>
                  </w:r>
                  <w:r>
                    <w:rPr>
                      <w:rFonts w:hint="default"/>
                      <w:color w:val="auto"/>
                      <w:highlight w:val="none"/>
                      <w:lang w:val="en-US" w:eastAsia="zh-CN"/>
                    </w:rPr>
                    <w: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noWrap/>
                  <w:vAlign w:val="center"/>
                </w:tcPr>
                <w:p>
                  <w:pPr>
                    <w:pStyle w:val="63"/>
                    <w:rPr>
                      <w:rFonts w:hint="default"/>
                      <w:color w:val="auto"/>
                      <w:highlight w:val="none"/>
                      <w:lang w:val="en-US" w:eastAsia="zh-CN"/>
                    </w:rPr>
                  </w:pPr>
                  <w:r>
                    <w:rPr>
                      <w:rFonts w:hint="eastAsia"/>
                      <w:color w:val="auto"/>
                      <w:highlight w:val="none"/>
                      <w:lang w:val="en-US" w:eastAsia="zh-CN"/>
                    </w:rPr>
                    <w:t>2</w:t>
                  </w:r>
                </w:p>
              </w:tc>
              <w:tc>
                <w:tcPr>
                  <w:tcW w:w="1319" w:type="dxa"/>
                  <w:noWrap/>
                  <w:vAlign w:val="center"/>
                </w:tcPr>
                <w:p>
                  <w:pPr>
                    <w:pStyle w:val="63"/>
                    <w:rPr>
                      <w:rFonts w:hint="default"/>
                      <w:color w:val="auto"/>
                      <w:highlight w:val="none"/>
                      <w:lang w:val="en-US" w:eastAsia="zh-CN"/>
                    </w:rPr>
                  </w:pPr>
                  <w:r>
                    <w:rPr>
                      <w:rFonts w:hint="eastAsia"/>
                      <w:color w:val="auto"/>
                      <w:highlight w:val="none"/>
                      <w:lang w:val="en-US" w:eastAsia="zh-CN"/>
                    </w:rPr>
                    <w:t>废含切削液金属屑</w:t>
                  </w:r>
                </w:p>
              </w:tc>
              <w:tc>
                <w:tcPr>
                  <w:tcW w:w="1132" w:type="dxa"/>
                  <w:vMerge w:val="continue"/>
                  <w:noWrap/>
                  <w:vAlign w:val="center"/>
                </w:tcPr>
                <w:p>
                  <w:pPr>
                    <w:pStyle w:val="63"/>
                    <w:rPr>
                      <w:rFonts w:hint="default"/>
                      <w:color w:val="auto"/>
                      <w:highlight w:val="none"/>
                    </w:rPr>
                  </w:pPr>
                </w:p>
              </w:tc>
              <w:tc>
                <w:tcPr>
                  <w:tcW w:w="2586" w:type="dxa"/>
                  <w:noWrap/>
                  <w:vAlign w:val="center"/>
                </w:tcPr>
                <w:p>
                  <w:pPr>
                    <w:pStyle w:val="63"/>
                    <w:rPr>
                      <w:rFonts w:hint="default"/>
                      <w:color w:val="auto"/>
                      <w:highlight w:val="none"/>
                      <w:lang w:val="en-US" w:eastAsia="zh-CN"/>
                    </w:rPr>
                  </w:pPr>
                  <w:r>
                    <w:rPr>
                      <w:rFonts w:hint="eastAsia"/>
                      <w:color w:val="auto"/>
                      <w:highlight w:val="none"/>
                      <w:lang w:val="en-US" w:eastAsia="zh-CN"/>
                    </w:rPr>
                    <w:t>HW09其他废物</w:t>
                  </w:r>
                </w:p>
              </w:tc>
              <w:tc>
                <w:tcPr>
                  <w:tcW w:w="1447" w:type="dxa"/>
                  <w:noWrap/>
                  <w:vAlign w:val="center"/>
                </w:tcPr>
                <w:p>
                  <w:pPr>
                    <w:pStyle w:val="63"/>
                    <w:rPr>
                      <w:rFonts w:hint="default"/>
                      <w:color w:val="auto"/>
                      <w:highlight w:val="none"/>
                      <w:lang w:val="en-US" w:eastAsia="zh-CN"/>
                    </w:rPr>
                  </w:pPr>
                  <w:r>
                    <w:rPr>
                      <w:rFonts w:hint="eastAsia"/>
                      <w:color w:val="auto"/>
                      <w:highlight w:val="none"/>
                      <w:lang w:val="en-US" w:eastAsia="zh-CN"/>
                    </w:rPr>
                    <w:t>900-006-09</w:t>
                  </w:r>
                </w:p>
              </w:tc>
              <w:tc>
                <w:tcPr>
                  <w:tcW w:w="1208" w:type="dxa"/>
                  <w:noWrap/>
                  <w:vAlign w:val="center"/>
                </w:tcPr>
                <w:p>
                  <w:pPr>
                    <w:pStyle w:val="63"/>
                    <w:rPr>
                      <w:rFonts w:hint="default" w:eastAsia="宋体"/>
                      <w:color w:val="auto"/>
                      <w:highlight w:val="none"/>
                      <w:lang w:val="en-US" w:eastAsia="zh-CN"/>
                    </w:rPr>
                  </w:pPr>
                  <w:r>
                    <w:rPr>
                      <w:rFonts w:hint="default"/>
                      <w:color w:val="auto"/>
                      <w:highlight w:val="none"/>
                    </w:rPr>
                    <w:t>T</w:t>
                  </w:r>
                  <w:r>
                    <w:rPr>
                      <w:rFonts w:hint="eastAsia"/>
                      <w:color w:val="auto"/>
                      <w:highlight w:val="none"/>
                      <w:lang w:val="en-US" w:eastAsia="zh-CN"/>
                    </w:rPr>
                    <w:t>/In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noWrap/>
                  <w:vAlign w:val="center"/>
                </w:tcPr>
                <w:p>
                  <w:pPr>
                    <w:pStyle w:val="63"/>
                    <w:rPr>
                      <w:rFonts w:hint="default"/>
                      <w:color w:val="auto"/>
                      <w:highlight w:val="none"/>
                      <w:lang w:val="en-US" w:eastAsia="zh-CN"/>
                    </w:rPr>
                  </w:pPr>
                  <w:r>
                    <w:rPr>
                      <w:rFonts w:hint="eastAsia"/>
                      <w:color w:val="auto"/>
                      <w:highlight w:val="none"/>
                      <w:lang w:val="en-US" w:eastAsia="zh-CN"/>
                    </w:rPr>
                    <w:t>3</w:t>
                  </w:r>
                </w:p>
              </w:tc>
              <w:tc>
                <w:tcPr>
                  <w:tcW w:w="1319" w:type="dxa"/>
                  <w:noWrap/>
                  <w:vAlign w:val="center"/>
                </w:tcPr>
                <w:p>
                  <w:pPr>
                    <w:pStyle w:val="63"/>
                    <w:rPr>
                      <w:rFonts w:hint="default"/>
                      <w:color w:val="auto"/>
                      <w:highlight w:val="none"/>
                      <w:lang w:val="en-US" w:eastAsia="zh-CN"/>
                    </w:rPr>
                  </w:pPr>
                  <w:r>
                    <w:rPr>
                      <w:rFonts w:hint="eastAsia"/>
                      <w:color w:val="auto"/>
                      <w:highlight w:val="none"/>
                      <w:lang w:val="en-US" w:eastAsia="zh-CN"/>
                    </w:rPr>
                    <w:t>废切削液桶</w:t>
                  </w:r>
                </w:p>
              </w:tc>
              <w:tc>
                <w:tcPr>
                  <w:tcW w:w="1132" w:type="dxa"/>
                  <w:vMerge w:val="continue"/>
                  <w:noWrap/>
                  <w:vAlign w:val="center"/>
                </w:tcPr>
                <w:p>
                  <w:pPr>
                    <w:pStyle w:val="63"/>
                    <w:rPr>
                      <w:rFonts w:hint="default"/>
                      <w:color w:val="auto"/>
                      <w:highlight w:val="none"/>
                    </w:rPr>
                  </w:pPr>
                </w:p>
              </w:tc>
              <w:tc>
                <w:tcPr>
                  <w:tcW w:w="2586" w:type="dxa"/>
                  <w:noWrap/>
                  <w:vAlign w:val="center"/>
                </w:tcPr>
                <w:p>
                  <w:pPr>
                    <w:pStyle w:val="63"/>
                    <w:rPr>
                      <w:rFonts w:hint="default"/>
                      <w:color w:val="auto"/>
                      <w:highlight w:val="none"/>
                      <w:lang w:val="en-US" w:eastAsia="zh-CN"/>
                    </w:rPr>
                  </w:pPr>
                  <w:r>
                    <w:rPr>
                      <w:rFonts w:hint="eastAsia"/>
                      <w:color w:val="auto"/>
                      <w:highlight w:val="none"/>
                      <w:lang w:val="en-US" w:eastAsia="zh-CN"/>
                    </w:rPr>
                    <w:t>HW49 其他废物</w:t>
                  </w:r>
                </w:p>
              </w:tc>
              <w:tc>
                <w:tcPr>
                  <w:tcW w:w="1447" w:type="dxa"/>
                  <w:noWrap/>
                  <w:vAlign w:val="center"/>
                </w:tcPr>
                <w:p>
                  <w:pPr>
                    <w:pStyle w:val="63"/>
                    <w:rPr>
                      <w:rFonts w:hint="default" w:cs="Times New Roman"/>
                      <w:color w:val="auto"/>
                      <w:highlight w:val="none"/>
                      <w:lang w:val="en-US" w:eastAsia="zh-CN"/>
                    </w:rPr>
                  </w:pPr>
                  <w:r>
                    <w:rPr>
                      <w:rFonts w:hint="eastAsia" w:cs="Times New Roman"/>
                      <w:color w:val="auto"/>
                      <w:highlight w:val="none"/>
                      <w:lang w:val="en-US" w:eastAsia="zh-CN"/>
                    </w:rPr>
                    <w:t>900-041-49</w:t>
                  </w:r>
                </w:p>
              </w:tc>
              <w:tc>
                <w:tcPr>
                  <w:tcW w:w="1208" w:type="dxa"/>
                  <w:noWrap/>
                  <w:vAlign w:val="center"/>
                </w:tcPr>
                <w:p>
                  <w:pPr>
                    <w:pStyle w:val="63"/>
                    <w:rPr>
                      <w:rFonts w:hint="default" w:eastAsia="宋体"/>
                      <w:color w:val="auto"/>
                      <w:highlight w:val="none"/>
                      <w:lang w:val="en-US" w:eastAsia="zh-CN"/>
                    </w:rPr>
                  </w:pPr>
                  <w:r>
                    <w:rPr>
                      <w:rFonts w:hint="default"/>
                      <w:color w:val="auto"/>
                      <w:highlight w:val="none"/>
                    </w:rPr>
                    <w:t>T</w:t>
                  </w:r>
                  <w:r>
                    <w:rPr>
                      <w:rFonts w:hint="eastAsia"/>
                      <w:color w:val="auto"/>
                      <w:highlight w:val="none"/>
                      <w:lang w:eastAsia="zh-CN"/>
                    </w:rPr>
                    <w:t>、</w:t>
                  </w:r>
                  <w:r>
                    <w:rPr>
                      <w:rFonts w:hint="eastAsia"/>
                      <w:color w:val="auto"/>
                      <w:highlight w:val="none"/>
                      <w:lang w:val="en-US" w:eastAsia="zh-CN"/>
                    </w:rPr>
                    <w: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noWrap/>
                  <w:vAlign w:val="center"/>
                </w:tcPr>
                <w:p>
                  <w:pPr>
                    <w:pStyle w:val="63"/>
                    <w:rPr>
                      <w:rFonts w:hint="default"/>
                      <w:color w:val="auto"/>
                      <w:highlight w:val="none"/>
                      <w:lang w:val="en-US" w:eastAsia="zh-CN"/>
                    </w:rPr>
                  </w:pPr>
                  <w:r>
                    <w:rPr>
                      <w:rFonts w:hint="eastAsia"/>
                      <w:color w:val="auto"/>
                      <w:highlight w:val="none"/>
                      <w:lang w:val="en-US" w:eastAsia="zh-CN"/>
                    </w:rPr>
                    <w:t>4</w:t>
                  </w:r>
                </w:p>
              </w:tc>
              <w:tc>
                <w:tcPr>
                  <w:tcW w:w="1319" w:type="dxa"/>
                  <w:noWrap/>
                  <w:vAlign w:val="center"/>
                </w:tcPr>
                <w:p>
                  <w:pPr>
                    <w:pStyle w:val="63"/>
                    <w:rPr>
                      <w:rFonts w:hint="default"/>
                      <w:color w:val="auto"/>
                      <w:highlight w:val="none"/>
                      <w:lang w:val="en-US" w:eastAsia="zh-CN"/>
                    </w:rPr>
                  </w:pPr>
                  <w:r>
                    <w:rPr>
                      <w:rFonts w:hint="eastAsia"/>
                      <w:color w:val="auto"/>
                      <w:highlight w:val="none"/>
                      <w:lang w:val="en-US" w:eastAsia="zh-CN"/>
                    </w:rPr>
                    <w:t>废切削液</w:t>
                  </w:r>
                </w:p>
              </w:tc>
              <w:tc>
                <w:tcPr>
                  <w:tcW w:w="1132" w:type="dxa"/>
                  <w:vMerge w:val="continue"/>
                  <w:noWrap/>
                  <w:vAlign w:val="center"/>
                </w:tcPr>
                <w:p>
                  <w:pPr>
                    <w:pStyle w:val="63"/>
                    <w:rPr>
                      <w:rFonts w:hint="default"/>
                      <w:color w:val="auto"/>
                      <w:highlight w:val="none"/>
                    </w:rPr>
                  </w:pPr>
                </w:p>
              </w:tc>
              <w:tc>
                <w:tcPr>
                  <w:tcW w:w="2586" w:type="dxa"/>
                  <w:noWrap/>
                  <w:vAlign w:val="center"/>
                </w:tcPr>
                <w:p>
                  <w:pPr>
                    <w:pStyle w:val="63"/>
                    <w:ind w:firstLine="0" w:firstLineChars="0"/>
                    <w:rPr>
                      <w:rFonts w:hint="eastAsia"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HW09其他废物</w:t>
                  </w:r>
                </w:p>
              </w:tc>
              <w:tc>
                <w:tcPr>
                  <w:tcW w:w="1447" w:type="dxa"/>
                  <w:noWrap/>
                  <w:vAlign w:val="center"/>
                </w:tcPr>
                <w:p>
                  <w:pPr>
                    <w:pStyle w:val="63"/>
                    <w:ind w:firstLine="0" w:firstLineChars="0"/>
                    <w:rPr>
                      <w:rFonts w:hint="eastAsia"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900-006-09</w:t>
                  </w:r>
                </w:p>
              </w:tc>
              <w:tc>
                <w:tcPr>
                  <w:tcW w:w="1208" w:type="dxa"/>
                  <w:noWrap/>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default"/>
                      <w:color w:val="auto"/>
                      <w:highlight w:val="none"/>
                    </w:rPr>
                    <w:t>T</w:t>
                  </w:r>
                  <w:r>
                    <w:rPr>
                      <w:rFonts w:hint="eastAsia"/>
                      <w:color w:val="auto"/>
                      <w:highlight w:val="none"/>
                      <w:lang w:val="en-US" w:eastAsia="zh-CN"/>
                    </w:rPr>
                    <w:t>/In</w:t>
                  </w:r>
                </w:p>
              </w:tc>
            </w:tr>
          </w:tbl>
          <w:p>
            <w:pPr>
              <w:pStyle w:val="8"/>
              <w:jc w:val="center"/>
              <w:rPr>
                <w:rFonts w:hint="default"/>
                <w:color w:val="auto"/>
                <w:highlight w:val="none"/>
              </w:rPr>
            </w:pPr>
            <w:r>
              <w:rPr>
                <w:rFonts w:hint="default"/>
                <w:color w:val="auto"/>
                <w:highlight w:val="none"/>
              </w:rPr>
              <w:t>注：毒性（Toxicity T）、易燃性（IgnitabilityI）、感染性（InfectivityIn）。</w:t>
            </w:r>
          </w:p>
          <w:p>
            <w:pPr>
              <w:spacing w:line="360" w:lineRule="auto"/>
              <w:ind w:firstLine="480" w:firstLineChars="200"/>
              <w:rPr>
                <w:rFonts w:hint="default" w:ascii="Times New Roman" w:hAnsi="Times New Roman" w:eastAsia="宋体" w:cs="Times New Roman"/>
                <w:b/>
                <w:color w:val="auto"/>
                <w:kern w:val="2"/>
                <w:sz w:val="24"/>
                <w:szCs w:val="21"/>
                <w:highlight w:val="none"/>
                <w:lang w:val="en-US" w:eastAsia="zh-CN" w:bidi="ar-SA"/>
              </w:rPr>
            </w:pPr>
            <w:r>
              <w:rPr>
                <w:rFonts w:hint="default"/>
                <w:color w:val="auto"/>
                <w:highlight w:val="none"/>
              </w:rPr>
              <w:t>（3）产生量核算</w:t>
            </w:r>
          </w:p>
          <w:p>
            <w:pPr>
              <w:spacing w:line="240" w:lineRule="auto"/>
              <w:jc w:val="center"/>
              <w:rPr>
                <w:rFonts w:hint="default" w:ascii="Times New Roman" w:hAnsi="Times New Roman" w:eastAsia="宋体" w:cs="Times New Roman"/>
                <w:b/>
                <w:color w:val="auto"/>
                <w:kern w:val="2"/>
                <w:sz w:val="24"/>
                <w:szCs w:val="21"/>
                <w:highlight w:val="none"/>
                <w:lang w:val="en-US" w:eastAsia="zh-CN" w:bidi="ar-SA"/>
              </w:rPr>
            </w:pPr>
            <w:r>
              <w:rPr>
                <w:rFonts w:hint="default" w:ascii="Times New Roman" w:hAnsi="Times New Roman" w:eastAsia="宋体" w:cs="Times New Roman"/>
                <w:b/>
                <w:color w:val="auto"/>
                <w:kern w:val="2"/>
                <w:sz w:val="24"/>
                <w:szCs w:val="21"/>
                <w:highlight w:val="none"/>
                <w:lang w:val="en-US" w:eastAsia="zh-CN" w:bidi="ar-SA"/>
              </w:rPr>
              <w:t>表</w:t>
            </w:r>
            <w:r>
              <w:rPr>
                <w:rFonts w:hint="eastAsia" w:cs="Times New Roman"/>
                <w:b/>
                <w:color w:val="auto"/>
                <w:kern w:val="2"/>
                <w:sz w:val="24"/>
                <w:szCs w:val="21"/>
                <w:highlight w:val="none"/>
                <w:lang w:val="en-US" w:eastAsia="zh-CN" w:bidi="ar-SA"/>
              </w:rPr>
              <w:t>4-9</w:t>
            </w:r>
            <w:r>
              <w:rPr>
                <w:rFonts w:hint="eastAsia" w:ascii="Times New Roman" w:hAnsi="Times New Roman" w:eastAsia="宋体" w:cs="Times New Roman"/>
                <w:b/>
                <w:color w:val="auto"/>
                <w:kern w:val="2"/>
                <w:sz w:val="24"/>
                <w:szCs w:val="21"/>
                <w:highlight w:val="none"/>
                <w:lang w:val="en-US" w:eastAsia="zh-CN" w:bidi="ar-SA"/>
              </w:rPr>
              <w:t xml:space="preserve"> </w:t>
            </w:r>
            <w:r>
              <w:rPr>
                <w:rFonts w:hint="default" w:ascii="Times New Roman" w:hAnsi="Times New Roman" w:eastAsia="宋体" w:cs="Times New Roman"/>
                <w:b/>
                <w:color w:val="auto"/>
                <w:kern w:val="2"/>
                <w:sz w:val="24"/>
                <w:szCs w:val="21"/>
                <w:highlight w:val="none"/>
                <w:lang w:val="en-US" w:eastAsia="zh-CN" w:bidi="ar-SA"/>
              </w:rPr>
              <w:t>危险废物产生情况汇总表</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88"/>
              <w:gridCol w:w="1737"/>
              <w:gridCol w:w="2319"/>
              <w:gridCol w:w="14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5" w:type="dxa"/>
                  <w:noWrap/>
                  <w:vAlign w:val="center"/>
                </w:tcPr>
                <w:p>
                  <w:pPr>
                    <w:pStyle w:val="63"/>
                    <w:rPr>
                      <w:rFonts w:hint="default"/>
                      <w:color w:val="auto"/>
                      <w:highlight w:val="none"/>
                    </w:rPr>
                  </w:pPr>
                  <w:r>
                    <w:rPr>
                      <w:rFonts w:hint="default"/>
                      <w:color w:val="auto"/>
                      <w:highlight w:val="none"/>
                    </w:rPr>
                    <w:t>序号</w:t>
                  </w:r>
                </w:p>
              </w:tc>
              <w:tc>
                <w:tcPr>
                  <w:tcW w:w="1989" w:type="dxa"/>
                  <w:noWrap/>
                  <w:vAlign w:val="center"/>
                </w:tcPr>
                <w:p>
                  <w:pPr>
                    <w:pStyle w:val="63"/>
                    <w:rPr>
                      <w:rFonts w:hint="default"/>
                      <w:color w:val="auto"/>
                      <w:highlight w:val="none"/>
                    </w:rPr>
                  </w:pPr>
                  <w:r>
                    <w:rPr>
                      <w:rFonts w:hint="default"/>
                      <w:color w:val="auto"/>
                      <w:highlight w:val="none"/>
                    </w:rPr>
                    <w:t>名称</w:t>
                  </w:r>
                </w:p>
              </w:tc>
              <w:tc>
                <w:tcPr>
                  <w:tcW w:w="1737" w:type="dxa"/>
                  <w:noWrap/>
                  <w:vAlign w:val="center"/>
                </w:tcPr>
                <w:p>
                  <w:pPr>
                    <w:pStyle w:val="63"/>
                    <w:rPr>
                      <w:rFonts w:hint="default"/>
                      <w:color w:val="auto"/>
                      <w:highlight w:val="none"/>
                    </w:rPr>
                  </w:pPr>
                  <w:r>
                    <w:rPr>
                      <w:rFonts w:hint="default"/>
                      <w:color w:val="auto"/>
                      <w:highlight w:val="none"/>
                    </w:rPr>
                    <w:t>产生量</w:t>
                  </w:r>
                </w:p>
              </w:tc>
              <w:tc>
                <w:tcPr>
                  <w:tcW w:w="2320" w:type="dxa"/>
                  <w:noWrap/>
                  <w:vAlign w:val="center"/>
                </w:tcPr>
                <w:p>
                  <w:pPr>
                    <w:pStyle w:val="63"/>
                    <w:rPr>
                      <w:rFonts w:hint="default"/>
                      <w:color w:val="auto"/>
                      <w:highlight w:val="none"/>
                    </w:rPr>
                  </w:pPr>
                  <w:r>
                    <w:rPr>
                      <w:rFonts w:hint="default"/>
                      <w:color w:val="auto"/>
                      <w:highlight w:val="none"/>
                    </w:rPr>
                    <w:t>贮存周期、产生周期</w:t>
                  </w:r>
                </w:p>
              </w:tc>
              <w:tc>
                <w:tcPr>
                  <w:tcW w:w="1449" w:type="dxa"/>
                  <w:noWrap/>
                  <w:vAlign w:val="center"/>
                </w:tcPr>
                <w:p>
                  <w:pPr>
                    <w:pStyle w:val="63"/>
                    <w:rPr>
                      <w:rFonts w:hint="default"/>
                      <w:color w:val="auto"/>
                      <w:highlight w:val="none"/>
                    </w:rPr>
                  </w:pPr>
                  <w:r>
                    <w:rPr>
                      <w:rFonts w:hint="default"/>
                      <w:color w:val="auto"/>
                      <w:highlight w:val="none"/>
                    </w:rPr>
                    <w:t>数据来源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5" w:type="dxa"/>
                  <w:noWrap/>
                  <w:vAlign w:val="center"/>
                </w:tcPr>
                <w:p>
                  <w:pPr>
                    <w:pStyle w:val="63"/>
                    <w:rPr>
                      <w:rFonts w:hint="eastAsia"/>
                      <w:color w:val="auto"/>
                      <w:highlight w:val="none"/>
                      <w:lang w:val="en-US" w:eastAsia="zh-CN"/>
                    </w:rPr>
                  </w:pPr>
                  <w:r>
                    <w:rPr>
                      <w:rFonts w:hint="eastAsia"/>
                      <w:color w:val="auto"/>
                      <w:highlight w:val="none"/>
                      <w:lang w:val="en-US" w:eastAsia="zh-CN"/>
                    </w:rPr>
                    <w:t>1</w:t>
                  </w:r>
                </w:p>
              </w:tc>
              <w:tc>
                <w:tcPr>
                  <w:tcW w:w="1989" w:type="dxa"/>
                  <w:noWrap/>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default"/>
                      <w:color w:val="auto"/>
                      <w:highlight w:val="none"/>
                      <w:lang w:eastAsia="zh-CN"/>
                    </w:rPr>
                    <w:t>废</w:t>
                  </w:r>
                  <w:r>
                    <w:rPr>
                      <w:rFonts w:hint="eastAsia"/>
                      <w:color w:val="auto"/>
                      <w:highlight w:val="none"/>
                      <w:lang w:val="en-US" w:eastAsia="zh-CN"/>
                    </w:rPr>
                    <w:t>导轨油桶</w:t>
                  </w:r>
                </w:p>
              </w:tc>
              <w:tc>
                <w:tcPr>
                  <w:tcW w:w="1737" w:type="dxa"/>
                  <w:noWrap/>
                  <w:vAlign w:val="center"/>
                </w:tcPr>
                <w:p>
                  <w:pPr>
                    <w:pStyle w:val="63"/>
                    <w:rPr>
                      <w:rFonts w:hint="default"/>
                      <w:color w:val="auto"/>
                      <w:highlight w:val="none"/>
                      <w:lang w:val="en-US"/>
                    </w:rPr>
                  </w:pPr>
                  <w:r>
                    <w:rPr>
                      <w:rFonts w:hint="eastAsia"/>
                      <w:color w:val="auto"/>
                      <w:highlight w:val="none"/>
                      <w:lang w:val="en-US" w:eastAsia="zh-CN"/>
                    </w:rPr>
                    <w:t>0.04t/a</w:t>
                  </w:r>
                </w:p>
              </w:tc>
              <w:tc>
                <w:tcPr>
                  <w:tcW w:w="2320" w:type="dxa"/>
                  <w:noWrap/>
                  <w:vAlign w:val="center"/>
                </w:tcPr>
                <w:p>
                  <w:pPr>
                    <w:pStyle w:val="63"/>
                    <w:rPr>
                      <w:rFonts w:hint="default" w:eastAsia="宋体"/>
                      <w:color w:val="auto"/>
                      <w:highlight w:val="none"/>
                      <w:lang w:val="en-US" w:eastAsia="zh-CN"/>
                    </w:rPr>
                  </w:pPr>
                  <w:r>
                    <w:rPr>
                      <w:rFonts w:hint="default"/>
                      <w:color w:val="auto"/>
                      <w:highlight w:val="none"/>
                    </w:rPr>
                    <w:t>1次/年</w:t>
                  </w:r>
                  <w:r>
                    <w:rPr>
                      <w:rFonts w:hint="eastAsia"/>
                      <w:color w:val="auto"/>
                      <w:highlight w:val="none"/>
                      <w:lang w:eastAsia="zh-CN"/>
                    </w:rPr>
                    <w:t>、</w:t>
                  </w:r>
                  <w:r>
                    <w:rPr>
                      <w:rFonts w:hint="eastAsia"/>
                      <w:color w:val="auto"/>
                      <w:highlight w:val="none"/>
                      <w:lang w:val="en-US" w:eastAsia="zh-CN"/>
                    </w:rPr>
                    <w:t>1次/0.5a</w:t>
                  </w:r>
                </w:p>
              </w:tc>
              <w:tc>
                <w:tcPr>
                  <w:tcW w:w="1449" w:type="dxa"/>
                  <w:noWrap/>
                  <w:vAlign w:val="center"/>
                </w:tcPr>
                <w:p>
                  <w:pPr>
                    <w:pStyle w:val="63"/>
                    <w:rPr>
                      <w:rFonts w:hint="default"/>
                      <w:color w:val="auto"/>
                      <w:highlight w:val="none"/>
                    </w:rPr>
                  </w:pPr>
                  <w:r>
                    <w:rPr>
                      <w:rFonts w:hint="default"/>
                      <w:color w:val="auto"/>
                      <w:highlight w:val="none"/>
                    </w:rPr>
                    <w:t>数据估算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5" w:type="dxa"/>
                  <w:noWrap/>
                  <w:vAlign w:val="center"/>
                </w:tcPr>
                <w:p>
                  <w:pPr>
                    <w:pStyle w:val="63"/>
                    <w:ind w:firstLine="0" w:firstLineChars="0"/>
                    <w:rPr>
                      <w:rFonts w:hint="eastAsia"/>
                      <w:color w:val="auto"/>
                      <w:highlight w:val="none"/>
                      <w:lang w:val="en-US" w:eastAsia="zh-CN"/>
                    </w:rPr>
                  </w:pPr>
                  <w:r>
                    <w:rPr>
                      <w:rFonts w:hint="eastAsia"/>
                      <w:color w:val="auto"/>
                      <w:highlight w:val="none"/>
                      <w:lang w:val="en-US" w:eastAsia="zh-CN"/>
                    </w:rPr>
                    <w:t>2</w:t>
                  </w:r>
                </w:p>
              </w:tc>
              <w:tc>
                <w:tcPr>
                  <w:tcW w:w="1989" w:type="dxa"/>
                  <w:noWrap/>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废含切削液金属屑</w:t>
                  </w:r>
                </w:p>
              </w:tc>
              <w:tc>
                <w:tcPr>
                  <w:tcW w:w="1737" w:type="dxa"/>
                  <w:noWrap/>
                  <w:vAlign w:val="center"/>
                </w:tcPr>
                <w:p>
                  <w:pPr>
                    <w:pStyle w:val="63"/>
                    <w:rPr>
                      <w:rFonts w:hint="default"/>
                      <w:color w:val="auto"/>
                      <w:highlight w:val="none"/>
                      <w:lang w:val="en-US" w:eastAsia="zh-CN"/>
                    </w:rPr>
                  </w:pPr>
                  <w:r>
                    <w:rPr>
                      <w:rFonts w:hint="eastAsia"/>
                      <w:color w:val="auto"/>
                      <w:highlight w:val="none"/>
                      <w:lang w:val="en-US" w:eastAsia="zh-CN"/>
                    </w:rPr>
                    <w:t>80t/a</w:t>
                  </w:r>
                </w:p>
              </w:tc>
              <w:tc>
                <w:tcPr>
                  <w:tcW w:w="2320" w:type="dxa"/>
                  <w:noWrap/>
                  <w:vAlign w:val="center"/>
                </w:tcPr>
                <w:p>
                  <w:pPr>
                    <w:pStyle w:val="63"/>
                    <w:rPr>
                      <w:rFonts w:hint="default"/>
                      <w:color w:val="auto"/>
                      <w:highlight w:val="none"/>
                    </w:rPr>
                  </w:pPr>
                  <w:r>
                    <w:rPr>
                      <w:rFonts w:hint="default"/>
                      <w:color w:val="auto"/>
                      <w:highlight w:val="none"/>
                    </w:rPr>
                    <w:t>1次/</w:t>
                  </w:r>
                  <w:r>
                    <w:rPr>
                      <w:rFonts w:hint="eastAsia"/>
                      <w:color w:val="auto"/>
                      <w:highlight w:val="none"/>
                      <w:lang w:val="en-US" w:eastAsia="zh-CN"/>
                    </w:rPr>
                    <w:t>月</w:t>
                  </w:r>
                  <w:r>
                    <w:rPr>
                      <w:rFonts w:hint="eastAsia"/>
                      <w:color w:val="auto"/>
                      <w:highlight w:val="none"/>
                      <w:lang w:eastAsia="zh-CN"/>
                    </w:rPr>
                    <w:t>、</w:t>
                  </w:r>
                  <w:r>
                    <w:rPr>
                      <w:rFonts w:hint="eastAsia"/>
                      <w:color w:val="auto"/>
                      <w:highlight w:val="none"/>
                      <w:lang w:val="en-US" w:eastAsia="zh-CN"/>
                    </w:rPr>
                    <w:t>1次/机器运转</w:t>
                  </w:r>
                </w:p>
              </w:tc>
              <w:tc>
                <w:tcPr>
                  <w:tcW w:w="1449" w:type="dxa"/>
                  <w:noWrap/>
                  <w:vAlign w:val="center"/>
                </w:tcPr>
                <w:p>
                  <w:pPr>
                    <w:pStyle w:val="63"/>
                    <w:rPr>
                      <w:rFonts w:hint="default"/>
                      <w:color w:val="auto"/>
                      <w:highlight w:val="none"/>
                    </w:rPr>
                  </w:pPr>
                  <w:r>
                    <w:rPr>
                      <w:rFonts w:hint="default"/>
                      <w:color w:val="auto"/>
                      <w:highlight w:val="none"/>
                    </w:rPr>
                    <w:t>数据估算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5" w:type="dxa"/>
                  <w:noWrap/>
                  <w:vAlign w:val="center"/>
                </w:tcPr>
                <w:p>
                  <w:pPr>
                    <w:pStyle w:val="63"/>
                    <w:rPr>
                      <w:rFonts w:hint="default"/>
                      <w:color w:val="auto"/>
                      <w:highlight w:val="none"/>
                      <w:lang w:val="en-US" w:eastAsia="zh-CN"/>
                    </w:rPr>
                  </w:pPr>
                  <w:r>
                    <w:rPr>
                      <w:rFonts w:hint="eastAsia"/>
                      <w:color w:val="auto"/>
                      <w:highlight w:val="none"/>
                      <w:lang w:val="en-US" w:eastAsia="zh-CN"/>
                    </w:rPr>
                    <w:t>3</w:t>
                  </w:r>
                </w:p>
              </w:tc>
              <w:tc>
                <w:tcPr>
                  <w:tcW w:w="1989" w:type="dxa"/>
                  <w:noWrap/>
                  <w:vAlign w:val="center"/>
                </w:tcPr>
                <w:p>
                  <w:pPr>
                    <w:pStyle w:val="63"/>
                    <w:ind w:firstLine="0" w:firstLineChars="0"/>
                    <w:rPr>
                      <w:rFonts w:hint="eastAsia"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废切削液桶</w:t>
                  </w:r>
                </w:p>
              </w:tc>
              <w:tc>
                <w:tcPr>
                  <w:tcW w:w="1737" w:type="dxa"/>
                  <w:noWrap/>
                  <w:vAlign w:val="center"/>
                </w:tcPr>
                <w:p>
                  <w:pPr>
                    <w:pStyle w:val="63"/>
                    <w:rPr>
                      <w:rFonts w:hint="default"/>
                      <w:color w:val="auto"/>
                      <w:highlight w:val="none"/>
                      <w:lang w:val="en-US" w:eastAsia="zh-CN"/>
                    </w:rPr>
                  </w:pPr>
                  <w:r>
                    <w:rPr>
                      <w:rFonts w:hint="eastAsia"/>
                      <w:color w:val="auto"/>
                      <w:highlight w:val="none"/>
                      <w:lang w:val="en-US" w:eastAsia="zh-CN"/>
                    </w:rPr>
                    <w:t>0.06t/a</w:t>
                  </w:r>
                </w:p>
              </w:tc>
              <w:tc>
                <w:tcPr>
                  <w:tcW w:w="2320" w:type="dxa"/>
                  <w:noWrap/>
                  <w:vAlign w:val="center"/>
                </w:tcPr>
                <w:p>
                  <w:pPr>
                    <w:pStyle w:val="63"/>
                    <w:rPr>
                      <w:rFonts w:hint="default"/>
                      <w:color w:val="auto"/>
                      <w:highlight w:val="none"/>
                      <w:lang w:val="en-US"/>
                    </w:rPr>
                  </w:pPr>
                  <w:r>
                    <w:rPr>
                      <w:rFonts w:hint="default"/>
                      <w:color w:val="auto"/>
                      <w:highlight w:val="none"/>
                    </w:rPr>
                    <w:t>1次/年</w:t>
                  </w:r>
                  <w:r>
                    <w:rPr>
                      <w:rFonts w:hint="eastAsia"/>
                      <w:color w:val="auto"/>
                      <w:highlight w:val="none"/>
                      <w:lang w:eastAsia="zh-CN"/>
                    </w:rPr>
                    <w:t>、</w:t>
                  </w:r>
                  <w:r>
                    <w:rPr>
                      <w:rFonts w:hint="eastAsia"/>
                      <w:color w:val="auto"/>
                      <w:highlight w:val="none"/>
                      <w:lang w:val="en-US" w:eastAsia="zh-CN"/>
                    </w:rPr>
                    <w:t>1次/4月</w:t>
                  </w:r>
                </w:p>
              </w:tc>
              <w:tc>
                <w:tcPr>
                  <w:tcW w:w="1449" w:type="dxa"/>
                  <w:noWrap/>
                  <w:vAlign w:val="center"/>
                </w:tcPr>
                <w:p>
                  <w:pPr>
                    <w:pStyle w:val="63"/>
                    <w:rPr>
                      <w:rFonts w:hint="default"/>
                      <w:color w:val="auto"/>
                      <w:highlight w:val="none"/>
                    </w:rPr>
                  </w:pPr>
                  <w:r>
                    <w:rPr>
                      <w:rFonts w:hint="default"/>
                      <w:color w:val="auto"/>
                      <w:highlight w:val="none"/>
                    </w:rPr>
                    <w:t>数据估算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5" w:type="dxa"/>
                  <w:noWrap/>
                  <w:vAlign w:val="center"/>
                </w:tcPr>
                <w:p>
                  <w:pPr>
                    <w:pStyle w:val="63"/>
                    <w:rPr>
                      <w:rFonts w:hint="default"/>
                      <w:color w:val="auto"/>
                      <w:highlight w:val="none"/>
                      <w:lang w:val="en-US" w:eastAsia="zh-CN"/>
                    </w:rPr>
                  </w:pPr>
                  <w:r>
                    <w:rPr>
                      <w:rFonts w:hint="eastAsia"/>
                      <w:color w:val="auto"/>
                      <w:highlight w:val="none"/>
                      <w:lang w:val="en-US" w:eastAsia="zh-CN"/>
                    </w:rPr>
                    <w:t>4</w:t>
                  </w:r>
                </w:p>
              </w:tc>
              <w:tc>
                <w:tcPr>
                  <w:tcW w:w="1989" w:type="dxa"/>
                  <w:noWrap/>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废切削液</w:t>
                  </w:r>
                </w:p>
              </w:tc>
              <w:tc>
                <w:tcPr>
                  <w:tcW w:w="1737" w:type="dxa"/>
                  <w:noWrap/>
                  <w:vAlign w:val="center"/>
                </w:tcPr>
                <w:p>
                  <w:pPr>
                    <w:pStyle w:val="63"/>
                    <w:rPr>
                      <w:rFonts w:hint="default"/>
                      <w:color w:val="auto"/>
                      <w:highlight w:val="none"/>
                      <w:lang w:val="en-US" w:eastAsia="zh-CN"/>
                    </w:rPr>
                  </w:pPr>
                  <w:r>
                    <w:rPr>
                      <w:rFonts w:hint="eastAsia"/>
                      <w:color w:val="auto"/>
                      <w:highlight w:val="none"/>
                      <w:lang w:val="en-US" w:eastAsia="zh-CN"/>
                    </w:rPr>
                    <w:t>0.05t/a</w:t>
                  </w:r>
                </w:p>
              </w:tc>
              <w:tc>
                <w:tcPr>
                  <w:tcW w:w="2320" w:type="dxa"/>
                  <w:noWrap/>
                  <w:vAlign w:val="center"/>
                </w:tcPr>
                <w:p>
                  <w:pPr>
                    <w:pStyle w:val="63"/>
                    <w:rPr>
                      <w:rFonts w:hint="default" w:eastAsia="宋体"/>
                      <w:color w:val="auto"/>
                      <w:highlight w:val="none"/>
                      <w:lang w:val="en-US" w:eastAsia="zh-CN"/>
                    </w:rPr>
                  </w:pPr>
                  <w:r>
                    <w:rPr>
                      <w:rFonts w:hint="eastAsia"/>
                      <w:color w:val="auto"/>
                      <w:highlight w:val="none"/>
                      <w:lang w:val="en-US" w:eastAsia="zh-CN"/>
                    </w:rPr>
                    <w:t>1次/年、1次/年</w:t>
                  </w:r>
                </w:p>
              </w:tc>
              <w:tc>
                <w:tcPr>
                  <w:tcW w:w="1449" w:type="dxa"/>
                  <w:noWrap/>
                  <w:vAlign w:val="center"/>
                </w:tcPr>
                <w:p>
                  <w:pPr>
                    <w:pStyle w:val="63"/>
                    <w:rPr>
                      <w:rFonts w:hint="eastAsia" w:eastAsia="宋体"/>
                      <w:color w:val="auto"/>
                      <w:highlight w:val="none"/>
                      <w:lang w:val="en-US" w:eastAsia="zh-CN"/>
                    </w:rPr>
                  </w:pPr>
                  <w:r>
                    <w:rPr>
                      <w:rFonts w:hint="eastAsia"/>
                      <w:color w:val="auto"/>
                      <w:highlight w:val="none"/>
                      <w:lang w:val="en-US" w:eastAsia="zh-CN"/>
                    </w:rPr>
                    <w:t>数据估算</w:t>
                  </w:r>
                </w:p>
              </w:tc>
            </w:tr>
          </w:tbl>
          <w:p>
            <w:pPr>
              <w:spacing w:line="360" w:lineRule="auto"/>
              <w:ind w:firstLine="480" w:firstLineChars="200"/>
              <w:rPr>
                <w:rFonts w:hint="default"/>
                <w:color w:val="auto"/>
                <w:highlight w:val="none"/>
              </w:rPr>
            </w:pPr>
            <w:r>
              <w:rPr>
                <w:rFonts w:hint="default"/>
                <w:color w:val="auto"/>
                <w:highlight w:val="none"/>
              </w:rPr>
              <w:t>危险废物处置执行《危险废物贮存污染控制标准》（GB18597-2001）及修改单规定。</w:t>
            </w:r>
          </w:p>
          <w:p>
            <w:pPr>
              <w:spacing w:line="360" w:lineRule="auto"/>
              <w:ind w:firstLine="480" w:firstLineChars="200"/>
              <w:rPr>
                <w:rFonts w:hint="default"/>
                <w:color w:val="auto"/>
                <w:highlight w:val="none"/>
              </w:rPr>
            </w:pPr>
            <w:r>
              <w:rPr>
                <w:rFonts w:hint="default"/>
                <w:color w:val="auto"/>
                <w:highlight w:val="none"/>
              </w:rPr>
              <w:t>（4）污染防治措施</w:t>
            </w:r>
          </w:p>
          <w:p>
            <w:pPr>
              <w:spacing w:line="360" w:lineRule="auto"/>
              <w:ind w:firstLine="480" w:firstLineChars="200"/>
              <w:rPr>
                <w:rFonts w:hint="default" w:eastAsia="宋体"/>
                <w:color w:val="auto"/>
                <w:highlight w:val="none"/>
                <w:lang w:val="en-US" w:eastAsia="zh-CN"/>
              </w:rPr>
            </w:pPr>
            <w:r>
              <w:rPr>
                <w:rFonts w:hint="default"/>
                <w:color w:val="auto"/>
                <w:highlight w:val="none"/>
              </w:rPr>
              <w:t>本项目危险废物贮存于</w:t>
            </w:r>
            <w:r>
              <w:rPr>
                <w:rFonts w:hint="eastAsia"/>
                <w:color w:val="auto"/>
                <w:highlight w:val="none"/>
                <w:lang w:val="en-US" w:eastAsia="zh-CN"/>
              </w:rPr>
              <w:t>现有</w:t>
            </w:r>
            <w:r>
              <w:rPr>
                <w:rFonts w:hint="default"/>
                <w:color w:val="auto"/>
                <w:highlight w:val="none"/>
              </w:rPr>
              <w:t>危险废物暂存间内。危险废物暂存间的建设</w:t>
            </w:r>
            <w:r>
              <w:rPr>
                <w:rFonts w:hint="eastAsia"/>
                <w:color w:val="auto"/>
                <w:highlight w:val="none"/>
                <w:lang w:val="en-US" w:eastAsia="zh-CN"/>
              </w:rPr>
              <w:t>满足</w:t>
            </w:r>
            <w:r>
              <w:rPr>
                <w:rFonts w:hint="default" w:ascii="Times New Roman" w:hAnsi="Times New Roman" w:cs="Times New Roman"/>
                <w:color w:val="auto"/>
                <w:highlight w:val="none"/>
              </w:rPr>
              <w:t>《危险废物贮存污染控制标准》（GB18597-20</w:t>
            </w:r>
            <w:r>
              <w:rPr>
                <w:rFonts w:hint="eastAsia" w:ascii="Times New Roman" w:hAnsi="Times New Roman" w:cs="Times New Roman"/>
                <w:color w:val="auto"/>
                <w:highlight w:val="none"/>
                <w:lang w:val="en-US" w:eastAsia="zh-CN"/>
              </w:rPr>
              <w:t>23</w:t>
            </w:r>
            <w:r>
              <w:rPr>
                <w:rFonts w:hint="default" w:ascii="Times New Roman" w:hAnsi="Times New Roman" w:cs="Times New Roman"/>
                <w:color w:val="auto"/>
                <w:highlight w:val="none"/>
              </w:rPr>
              <w:t>）的相关要求</w:t>
            </w:r>
            <w:r>
              <w:rPr>
                <w:rFonts w:hint="eastAsia"/>
                <w:color w:val="auto"/>
                <w:highlight w:val="none"/>
                <w:lang w:eastAsia="zh-CN"/>
              </w:rPr>
              <w:t>，</w:t>
            </w:r>
            <w:r>
              <w:rPr>
                <w:rFonts w:hint="eastAsia"/>
                <w:color w:val="auto"/>
                <w:highlight w:val="none"/>
                <w:lang w:val="en-US" w:eastAsia="zh-CN"/>
              </w:rPr>
              <w:t>本次仅对新增产生的危险废物提出如下要求：</w:t>
            </w:r>
          </w:p>
          <w:p>
            <w:pPr>
              <w:bidi w:val="0"/>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①</w:t>
            </w:r>
            <w:r>
              <w:rPr>
                <w:rFonts w:hint="eastAsia" w:ascii="Times New Roman" w:hAnsi="Times New Roman" w:cs="Times New Roman"/>
                <w:color w:val="auto"/>
                <w:highlight w:val="none"/>
                <w:lang w:val="en-US" w:eastAsia="zh-CN"/>
              </w:rPr>
              <w:t>本项目均为HW08</w:t>
            </w:r>
            <w:r>
              <w:rPr>
                <w:rFonts w:hint="eastAsia" w:cs="Times New Roman"/>
                <w:color w:val="auto"/>
                <w:highlight w:val="none"/>
                <w:lang w:val="en-US" w:eastAsia="zh-CN"/>
              </w:rPr>
              <w:t>、HW49、HW09</w:t>
            </w:r>
            <w:r>
              <w:rPr>
                <w:rFonts w:hint="eastAsia" w:ascii="Times New Roman" w:hAnsi="Times New Roman" w:cs="Times New Roman"/>
                <w:color w:val="auto"/>
                <w:highlight w:val="none"/>
                <w:lang w:val="en-US" w:eastAsia="zh-CN"/>
              </w:rPr>
              <w:t>类危废，需设置隔断；</w:t>
            </w:r>
          </w:p>
          <w:p>
            <w:pPr>
              <w:bidi w:val="0"/>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②</w:t>
            </w:r>
            <w:r>
              <w:rPr>
                <w:rFonts w:hint="default" w:ascii="Times New Roman" w:hAnsi="Times New Roman" w:cs="Times New Roman"/>
                <w:color w:val="auto"/>
                <w:highlight w:val="none"/>
              </w:rPr>
              <w:t>按照《</w:t>
            </w:r>
            <w:r>
              <w:rPr>
                <w:rFonts w:hint="eastAsia" w:ascii="Times New Roman" w:hAnsi="Times New Roman" w:cs="Times New Roman"/>
                <w:color w:val="auto"/>
                <w:highlight w:val="none"/>
                <w:lang w:val="en-US" w:eastAsia="zh-CN"/>
              </w:rPr>
              <w:t>危险废物识别标志设置技术规范</w:t>
            </w:r>
            <w:r>
              <w:rPr>
                <w:rFonts w:hint="default" w:ascii="Times New Roman" w:hAnsi="Times New Roman" w:cs="Times New Roman"/>
                <w:color w:val="auto"/>
                <w:highlight w:val="none"/>
              </w:rPr>
              <w:t>》(</w:t>
            </w:r>
            <w:r>
              <w:rPr>
                <w:rFonts w:hint="eastAsia" w:ascii="Times New Roman" w:hAnsi="Times New Roman" w:cs="Times New Roman"/>
                <w:color w:val="auto"/>
                <w:highlight w:val="none"/>
                <w:lang w:val="en-US" w:eastAsia="zh-CN"/>
              </w:rPr>
              <w:t>HJ1276-2022</w:t>
            </w:r>
            <w:r>
              <w:rPr>
                <w:rFonts w:hint="default" w:ascii="Times New Roman" w:hAnsi="Times New Roman" w:cs="Times New Roman"/>
                <w:bCs/>
                <w:color w:val="auto"/>
                <w:highlight w:val="none"/>
              </w:rPr>
              <w:t>)中</w:t>
            </w:r>
            <w:r>
              <w:rPr>
                <w:rFonts w:hint="eastAsia" w:ascii="Times New Roman" w:hAnsi="Times New Roman" w:cs="Times New Roman"/>
                <w:bCs/>
                <w:color w:val="auto"/>
                <w:highlight w:val="none"/>
                <w:lang w:val="en-US" w:eastAsia="zh-CN"/>
              </w:rPr>
              <w:t>粘贴</w:t>
            </w:r>
            <w:r>
              <w:rPr>
                <w:rFonts w:hint="default" w:ascii="Times New Roman" w:hAnsi="Times New Roman" w:cs="Times New Roman"/>
                <w:bCs/>
                <w:color w:val="auto"/>
                <w:highlight w:val="none"/>
              </w:rPr>
              <w:t>标签</w:t>
            </w:r>
            <w:r>
              <w:rPr>
                <w:rFonts w:hint="default" w:ascii="Times New Roman" w:hAnsi="Times New Roman" w:cs="Times New Roman"/>
                <w:color w:val="auto"/>
                <w:highlight w:val="none"/>
              </w:rPr>
              <w:t>；</w:t>
            </w:r>
          </w:p>
          <w:p>
            <w:pPr>
              <w:bidi w:val="0"/>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③</w:t>
            </w:r>
            <w:r>
              <w:rPr>
                <w:rFonts w:hint="default" w:ascii="Times New Roman" w:hAnsi="Times New Roman" w:cs="Times New Roman"/>
                <w:bCs/>
                <w:color w:val="auto"/>
                <w:highlight w:val="none"/>
              </w:rPr>
              <w:t>危险废物产生者和危险废物贮存设施经营者均须做好危险废物情况的记录，记录上须注明危险废物的名称、来源、数量、特性和包装容器的类别、入库日期、存放库位、废物出库日期及接收单位名称，由专人进行管理明确责任。</w:t>
            </w:r>
          </w:p>
          <w:p>
            <w:pPr>
              <w:spacing w:line="240" w:lineRule="auto"/>
              <w:jc w:val="center"/>
              <w:rPr>
                <w:rFonts w:hint="default"/>
                <w:b/>
                <w:bCs/>
                <w:color w:val="auto"/>
                <w:highlight w:val="none"/>
              </w:rPr>
            </w:pPr>
            <w:r>
              <w:rPr>
                <w:rFonts w:hint="default"/>
                <w:b/>
                <w:bCs/>
                <w:color w:val="auto"/>
                <w:highlight w:val="none"/>
              </w:rPr>
              <w:t>表</w:t>
            </w:r>
            <w:r>
              <w:rPr>
                <w:rFonts w:hint="eastAsia"/>
                <w:b/>
                <w:bCs/>
                <w:color w:val="auto"/>
                <w:highlight w:val="none"/>
                <w:lang w:val="en-US" w:eastAsia="zh-CN"/>
              </w:rPr>
              <w:t xml:space="preserve">4-10 </w:t>
            </w:r>
            <w:r>
              <w:rPr>
                <w:rFonts w:hint="default"/>
                <w:b/>
                <w:bCs/>
                <w:color w:val="auto"/>
                <w:highlight w:val="none"/>
              </w:rPr>
              <w:t>危险废物贮存场所（设施）基本情况一览表</w:t>
            </w:r>
          </w:p>
          <w:tbl>
            <w:tblPr>
              <w:tblStyle w:val="31"/>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29"/>
              <w:gridCol w:w="847"/>
              <w:gridCol w:w="704"/>
              <w:gridCol w:w="768"/>
              <w:gridCol w:w="745"/>
              <w:gridCol w:w="425"/>
              <w:gridCol w:w="1037"/>
              <w:gridCol w:w="667"/>
              <w:gridCol w:w="818"/>
              <w:gridCol w:w="570"/>
              <w:gridCol w:w="133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序号</w:t>
                  </w:r>
                </w:p>
              </w:tc>
              <w:tc>
                <w:tcPr>
                  <w:tcW w:w="847"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贮存场所（设施）名称</w:t>
                  </w:r>
                </w:p>
              </w:tc>
              <w:tc>
                <w:tcPr>
                  <w:tcW w:w="704"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危险废物名称</w:t>
                  </w:r>
                </w:p>
              </w:tc>
              <w:tc>
                <w:tcPr>
                  <w:tcW w:w="768"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危险废物类别</w:t>
                  </w:r>
                </w:p>
              </w:tc>
              <w:tc>
                <w:tcPr>
                  <w:tcW w:w="745"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危险废物代码</w:t>
                  </w:r>
                </w:p>
              </w:tc>
              <w:tc>
                <w:tcPr>
                  <w:tcW w:w="425"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位置</w:t>
                  </w:r>
                </w:p>
              </w:tc>
              <w:tc>
                <w:tcPr>
                  <w:tcW w:w="1037"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占地面积</w:t>
                  </w:r>
                </w:p>
              </w:tc>
              <w:tc>
                <w:tcPr>
                  <w:tcW w:w="667"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贮存方式</w:t>
                  </w:r>
                </w:p>
              </w:tc>
              <w:tc>
                <w:tcPr>
                  <w:tcW w:w="818"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贮存</w:t>
                  </w:r>
                </w:p>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能力（吨）</w:t>
                  </w:r>
                </w:p>
              </w:tc>
              <w:tc>
                <w:tcPr>
                  <w:tcW w:w="570"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贮存</w:t>
                  </w:r>
                </w:p>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周期</w:t>
                  </w:r>
                </w:p>
              </w:tc>
              <w:tc>
                <w:tcPr>
                  <w:tcW w:w="1332"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防渗要求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dxa"/>
                  <w:vMerge w:val="restar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w:t>
                  </w:r>
                </w:p>
              </w:tc>
              <w:tc>
                <w:tcPr>
                  <w:tcW w:w="847" w:type="dxa"/>
                  <w:vMerge w:val="restar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危废间</w:t>
                  </w:r>
                </w:p>
              </w:tc>
              <w:tc>
                <w:tcPr>
                  <w:tcW w:w="704" w:type="dxa"/>
                  <w:noWrap w:val="0"/>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default"/>
                      <w:color w:val="auto"/>
                      <w:highlight w:val="none"/>
                      <w:lang w:eastAsia="zh-CN"/>
                    </w:rPr>
                    <w:t>废</w:t>
                  </w:r>
                  <w:r>
                    <w:rPr>
                      <w:rFonts w:hint="eastAsia"/>
                      <w:color w:val="auto"/>
                      <w:highlight w:val="none"/>
                      <w:lang w:val="en-US" w:eastAsia="zh-CN"/>
                    </w:rPr>
                    <w:t>导轨油桶</w:t>
                  </w:r>
                </w:p>
              </w:tc>
              <w:tc>
                <w:tcPr>
                  <w:tcW w:w="768" w:type="dxa"/>
                  <w:noWrap w:val="0"/>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default"/>
                      <w:color w:val="auto"/>
                      <w:highlight w:val="none"/>
                    </w:rPr>
                    <w:t>HW08</w:t>
                  </w:r>
                </w:p>
              </w:tc>
              <w:tc>
                <w:tcPr>
                  <w:tcW w:w="745" w:type="dxa"/>
                  <w:noWrap w:val="0"/>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default"/>
                      <w:color w:val="auto"/>
                      <w:highlight w:val="none"/>
                    </w:rPr>
                    <w:t>900-</w:t>
                  </w:r>
                  <w:r>
                    <w:rPr>
                      <w:rFonts w:hint="default"/>
                      <w:color w:val="auto"/>
                      <w:highlight w:val="none"/>
                      <w:lang w:val="en-US" w:eastAsia="zh-CN"/>
                    </w:rPr>
                    <w:t>2</w:t>
                  </w:r>
                  <w:r>
                    <w:rPr>
                      <w:rFonts w:hint="eastAsia"/>
                      <w:color w:val="auto"/>
                      <w:highlight w:val="none"/>
                      <w:lang w:val="en-US" w:eastAsia="zh-CN"/>
                    </w:rPr>
                    <w:t>49</w:t>
                  </w:r>
                  <w:r>
                    <w:rPr>
                      <w:rFonts w:hint="default"/>
                      <w:color w:val="auto"/>
                      <w:highlight w:val="none"/>
                    </w:rPr>
                    <w:t>-0</w:t>
                  </w:r>
                  <w:r>
                    <w:rPr>
                      <w:rFonts w:hint="default"/>
                      <w:color w:val="auto"/>
                      <w:highlight w:val="none"/>
                      <w:lang w:val="en-US" w:eastAsia="zh-CN"/>
                    </w:rPr>
                    <w:t>8</w:t>
                  </w:r>
                </w:p>
              </w:tc>
              <w:tc>
                <w:tcPr>
                  <w:tcW w:w="425" w:type="dxa"/>
                  <w:vMerge w:val="restar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模具加工车间内</w:t>
                  </w:r>
                </w:p>
              </w:tc>
              <w:tc>
                <w:tcPr>
                  <w:tcW w:w="1037" w:type="dxa"/>
                  <w:vMerge w:val="restar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9</w:t>
                  </w:r>
                  <w:r>
                    <w:rPr>
                      <w:rFonts w:hint="default" w:ascii="Times New Roman" w:hAnsi="Times New Roman" w:eastAsia="宋体" w:cs="Times New Roman"/>
                      <w:color w:val="auto"/>
                      <w:highlight w:val="none"/>
                      <w:lang w:val="en-US" w:eastAsia="zh-CN"/>
                    </w:rPr>
                    <w:t>㎡</w:t>
                  </w:r>
                </w:p>
              </w:tc>
              <w:tc>
                <w:tcPr>
                  <w:tcW w:w="667"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密闭容器</w:t>
                  </w:r>
                </w:p>
              </w:tc>
              <w:tc>
                <w:tcPr>
                  <w:tcW w:w="818" w:type="dxa"/>
                  <w:vMerge w:val="restar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1</w:t>
                  </w:r>
                  <w:r>
                    <w:rPr>
                      <w:rFonts w:hint="default" w:ascii="Times New Roman" w:hAnsi="Times New Roman" w:eastAsia="宋体" w:cs="Times New Roman"/>
                      <w:color w:val="auto"/>
                      <w:highlight w:val="none"/>
                      <w:lang w:val="en-US" w:eastAsia="zh-CN"/>
                    </w:rPr>
                    <w:t>t</w:t>
                  </w:r>
                </w:p>
              </w:tc>
              <w:tc>
                <w:tcPr>
                  <w:tcW w:w="570"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1a</w:t>
                  </w:r>
                </w:p>
              </w:tc>
              <w:tc>
                <w:tcPr>
                  <w:tcW w:w="1332" w:type="dxa"/>
                  <w:vMerge w:val="restar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地面采用抗渗混凝土进行防渗，表</w:t>
                  </w:r>
                </w:p>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层再刷2mm厚环氧地坪漆防渗，透</w:t>
                  </w:r>
                </w:p>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系数≤1.0×</w:t>
                  </w:r>
                </w:p>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10-10cm/s(或采取其他具有同等防渗效力的</w:t>
                  </w:r>
                  <w:r>
                    <w:rPr>
                      <w:rFonts w:hint="eastAsia" w:ascii="Times New Roman" w:hAnsi="Times New Roman" w:eastAsia="宋体" w:cs="Times New Roman"/>
                      <w:color w:val="auto"/>
                      <w:highlight w:val="none"/>
                      <w:lang w:val="en-US" w:eastAsia="zh-CN"/>
                    </w:rPr>
                    <w:t>防</w:t>
                  </w:r>
                  <w:r>
                    <w:rPr>
                      <w:rFonts w:hint="default" w:ascii="Times New Roman" w:hAnsi="Times New Roman" w:eastAsia="宋体" w:cs="Times New Roman"/>
                      <w:color w:val="auto"/>
                      <w:highlight w:val="none"/>
                      <w:lang w:val="en-US" w:eastAsia="zh-CN"/>
                    </w:rPr>
                    <w:t>渗材料)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847"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704" w:type="dxa"/>
                  <w:noWrap w:val="0"/>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废含切削液金属屑</w:t>
                  </w:r>
                </w:p>
              </w:tc>
              <w:tc>
                <w:tcPr>
                  <w:tcW w:w="768" w:type="dxa"/>
                  <w:noWrap w:val="0"/>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HW09</w:t>
                  </w:r>
                </w:p>
              </w:tc>
              <w:tc>
                <w:tcPr>
                  <w:tcW w:w="745" w:type="dxa"/>
                  <w:noWrap w:val="0"/>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900-006-09</w:t>
                  </w:r>
                </w:p>
              </w:tc>
              <w:tc>
                <w:tcPr>
                  <w:tcW w:w="425"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1037"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667"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专用容器</w:t>
                  </w:r>
                  <w:r>
                    <w:rPr>
                      <w:rFonts w:hint="eastAsia" w:ascii="Times New Roman" w:hAnsi="Times New Roman" w:cs="Times New Roman"/>
                      <w:color w:val="auto"/>
                      <w:highlight w:val="none"/>
                      <w:lang w:val="en-US" w:eastAsia="zh-CN"/>
                    </w:rPr>
                    <w:t>静置</w:t>
                  </w:r>
                </w:p>
              </w:tc>
              <w:tc>
                <w:tcPr>
                  <w:tcW w:w="818"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570"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4月</w:t>
                  </w:r>
                </w:p>
              </w:tc>
              <w:tc>
                <w:tcPr>
                  <w:tcW w:w="1332"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847"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704" w:type="dxa"/>
                  <w:noWrap w:val="0"/>
                  <w:vAlign w:val="center"/>
                </w:tcPr>
                <w:p>
                  <w:pPr>
                    <w:pStyle w:val="63"/>
                    <w:ind w:firstLine="0" w:firstLineChars="0"/>
                    <w:rPr>
                      <w:rFonts w:hint="default"/>
                      <w:color w:val="auto"/>
                      <w:highlight w:val="none"/>
                      <w:lang w:val="en-US" w:eastAsia="zh-CN"/>
                    </w:rPr>
                  </w:pPr>
                  <w:r>
                    <w:rPr>
                      <w:rFonts w:hint="eastAsia"/>
                      <w:color w:val="auto"/>
                      <w:highlight w:val="none"/>
                      <w:lang w:val="en-US" w:eastAsia="zh-CN"/>
                    </w:rPr>
                    <w:t>废切削液</w:t>
                  </w:r>
                </w:p>
              </w:tc>
              <w:tc>
                <w:tcPr>
                  <w:tcW w:w="768" w:type="dxa"/>
                  <w:noWrap w:val="0"/>
                  <w:vAlign w:val="center"/>
                </w:tcPr>
                <w:p>
                  <w:pPr>
                    <w:pStyle w:val="63"/>
                    <w:ind w:firstLine="0" w:firstLineChars="0"/>
                    <w:rPr>
                      <w:rFonts w:hint="eastAsia"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HW09</w:t>
                  </w:r>
                </w:p>
              </w:tc>
              <w:tc>
                <w:tcPr>
                  <w:tcW w:w="745" w:type="dxa"/>
                  <w:noWrap w:val="0"/>
                  <w:vAlign w:val="center"/>
                </w:tcPr>
                <w:p>
                  <w:pPr>
                    <w:pStyle w:val="63"/>
                    <w:ind w:firstLine="0" w:firstLineChars="0"/>
                    <w:rPr>
                      <w:rFonts w:hint="eastAsia"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900-006-09</w:t>
                  </w:r>
                </w:p>
              </w:tc>
              <w:tc>
                <w:tcPr>
                  <w:tcW w:w="425"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1037"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667"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密闭容器</w:t>
                  </w:r>
                </w:p>
              </w:tc>
              <w:tc>
                <w:tcPr>
                  <w:tcW w:w="818"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570"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1a</w:t>
                  </w:r>
                </w:p>
              </w:tc>
              <w:tc>
                <w:tcPr>
                  <w:tcW w:w="1332"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847"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704" w:type="dxa"/>
                  <w:noWrap w:val="0"/>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废切削液桶</w:t>
                  </w:r>
                </w:p>
              </w:tc>
              <w:tc>
                <w:tcPr>
                  <w:tcW w:w="768" w:type="dxa"/>
                  <w:noWrap w:val="0"/>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eastAsia"/>
                      <w:color w:val="auto"/>
                      <w:highlight w:val="none"/>
                      <w:lang w:val="en-US" w:eastAsia="zh-CN"/>
                    </w:rPr>
                    <w:t xml:space="preserve">HW49 </w:t>
                  </w:r>
                </w:p>
              </w:tc>
              <w:tc>
                <w:tcPr>
                  <w:tcW w:w="745" w:type="dxa"/>
                  <w:noWrap w:val="0"/>
                  <w:vAlign w:val="center"/>
                </w:tcPr>
                <w:p>
                  <w:pPr>
                    <w:pStyle w:val="63"/>
                    <w:ind w:firstLine="0" w:firstLineChars="0"/>
                    <w:rPr>
                      <w:rFonts w:hint="default" w:ascii="宋体" w:hAnsi="宋体" w:eastAsia="宋体" w:cs="Times New Roman"/>
                      <w:color w:val="auto"/>
                      <w:kern w:val="0"/>
                      <w:sz w:val="21"/>
                      <w:szCs w:val="20"/>
                      <w:highlight w:val="none"/>
                      <w:lang w:val="en-US" w:eastAsia="zh-CN" w:bidi="ar-SA"/>
                    </w:rPr>
                  </w:pPr>
                  <w:r>
                    <w:rPr>
                      <w:rFonts w:hint="eastAsia" w:cs="Times New Roman"/>
                      <w:color w:val="auto"/>
                      <w:highlight w:val="none"/>
                      <w:lang w:val="en-US" w:eastAsia="zh-CN"/>
                    </w:rPr>
                    <w:t>900-041-49</w:t>
                  </w:r>
                </w:p>
              </w:tc>
              <w:tc>
                <w:tcPr>
                  <w:tcW w:w="425"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1037"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667"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密闭容器</w:t>
                  </w:r>
                </w:p>
              </w:tc>
              <w:tc>
                <w:tcPr>
                  <w:tcW w:w="818"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c>
                <w:tcPr>
                  <w:tcW w:w="570"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1a</w:t>
                  </w:r>
                </w:p>
              </w:tc>
              <w:tc>
                <w:tcPr>
                  <w:tcW w:w="1332" w:type="dxa"/>
                  <w:vMerge w:val="continue"/>
                  <w:noWrap w:val="0"/>
                  <w:vAlign w:val="center"/>
                </w:tcPr>
                <w:p>
                  <w:pPr>
                    <w:pStyle w:val="39"/>
                    <w:bidi w:val="0"/>
                    <w:ind w:firstLine="0"/>
                    <w:rPr>
                      <w:rFonts w:hint="default" w:ascii="Times New Roman" w:hAnsi="Times New Roman" w:eastAsia="宋体" w:cs="Times New Roman"/>
                      <w:color w:val="auto"/>
                      <w:highlight w:val="none"/>
                      <w:lang w:val="en-US" w:eastAsia="zh-CN"/>
                    </w:rPr>
                  </w:pPr>
                </w:p>
              </w:tc>
            </w:tr>
          </w:tbl>
          <w:p>
            <w:pPr>
              <w:pStyle w:val="8"/>
              <w:bidi w:val="0"/>
              <w:ind w:firstLine="480" w:firstLineChars="200"/>
              <w:rPr>
                <w:rFonts w:hint="default" w:ascii="Times New Roman" w:hAnsi="Times New Roman" w:eastAsia="宋体" w:cs="Times New Roman"/>
                <w:b w:val="0"/>
                <w:bCs/>
                <w:color w:val="auto"/>
                <w:kern w:val="2"/>
                <w:sz w:val="24"/>
                <w:szCs w:val="24"/>
                <w:highlight w:val="none"/>
                <w:lang w:val="en-US" w:eastAsia="zh-CN" w:bidi="ar-SA"/>
              </w:rPr>
            </w:pPr>
            <w:r>
              <w:rPr>
                <w:rFonts w:hint="eastAsia" w:ascii="Times New Roman" w:hAnsi="Times New Roman" w:eastAsia="宋体" w:cs="Times New Roman"/>
                <w:b w:val="0"/>
                <w:bCs/>
                <w:color w:val="auto"/>
                <w:kern w:val="2"/>
                <w:sz w:val="24"/>
                <w:szCs w:val="24"/>
                <w:highlight w:val="none"/>
                <w:lang w:val="en-US" w:eastAsia="zh-CN" w:bidi="ar-SA"/>
              </w:rPr>
              <w:t>（5）</w:t>
            </w:r>
            <w:r>
              <w:rPr>
                <w:rFonts w:hint="default" w:ascii="Times New Roman" w:hAnsi="Times New Roman" w:eastAsia="宋体" w:cs="Times New Roman"/>
                <w:b w:val="0"/>
                <w:bCs/>
                <w:color w:val="auto"/>
                <w:kern w:val="2"/>
                <w:sz w:val="24"/>
                <w:szCs w:val="24"/>
                <w:highlight w:val="none"/>
                <w:lang w:val="en-US" w:eastAsia="zh-CN" w:bidi="ar-SA"/>
              </w:rPr>
              <w:t>危废暂存间选址</w:t>
            </w:r>
            <w:r>
              <w:rPr>
                <w:rFonts w:hint="eastAsia" w:cs="Times New Roman"/>
                <w:b w:val="0"/>
                <w:bCs/>
                <w:color w:val="auto"/>
                <w:kern w:val="2"/>
                <w:sz w:val="24"/>
                <w:szCs w:val="24"/>
                <w:highlight w:val="none"/>
                <w:lang w:val="en-US" w:eastAsia="zh-CN" w:bidi="ar-SA"/>
              </w:rPr>
              <w:t>、依托</w:t>
            </w:r>
            <w:r>
              <w:rPr>
                <w:rFonts w:hint="default" w:ascii="Times New Roman" w:hAnsi="Times New Roman" w:eastAsia="宋体" w:cs="Times New Roman"/>
                <w:b w:val="0"/>
                <w:bCs/>
                <w:color w:val="auto"/>
                <w:kern w:val="2"/>
                <w:sz w:val="24"/>
                <w:szCs w:val="24"/>
                <w:highlight w:val="none"/>
                <w:lang w:val="en-US" w:eastAsia="zh-CN" w:bidi="ar-SA"/>
              </w:rPr>
              <w:t>可行性分析</w:t>
            </w:r>
          </w:p>
          <w:p>
            <w:pPr>
              <w:bidi w:val="0"/>
              <w:ind w:firstLine="480" w:firstLineChars="200"/>
              <w:rPr>
                <w:rFonts w:hint="default" w:ascii="Times New Roman" w:hAnsi="Times New Roman" w:cs="Times New Roman"/>
                <w:color w:val="auto"/>
                <w:highlight w:val="none"/>
              </w:rPr>
            </w:pPr>
            <w:r>
              <w:rPr>
                <w:rFonts w:hint="eastAsia" w:eastAsia="宋体" w:cs="Times New Roman"/>
                <w:color w:val="auto"/>
                <w:highlight w:val="none"/>
                <w:lang w:val="en-US" w:eastAsia="zh-CN"/>
              </w:rPr>
              <w:t>现有</w:t>
            </w:r>
            <w:r>
              <w:rPr>
                <w:rFonts w:hint="default" w:ascii="Times New Roman" w:hAnsi="Times New Roman" w:eastAsia="宋体" w:cs="Times New Roman"/>
                <w:color w:val="auto"/>
                <w:highlight w:val="none"/>
              </w:rPr>
              <w:t>危废暂存间</w:t>
            </w:r>
            <w:r>
              <w:rPr>
                <w:rFonts w:hint="eastAsia" w:eastAsia="宋体" w:cs="Times New Roman"/>
                <w:color w:val="auto"/>
                <w:highlight w:val="none"/>
                <w:lang w:val="en-US" w:eastAsia="zh-CN"/>
              </w:rPr>
              <w:t>位于</w:t>
            </w:r>
            <w:r>
              <w:rPr>
                <w:rFonts w:hint="eastAsia" w:cs="Times New Roman"/>
                <w:color w:val="auto"/>
                <w:highlight w:val="none"/>
                <w:lang w:val="en-US" w:eastAsia="zh-CN"/>
              </w:rPr>
              <w:t>模具加工车间</w:t>
            </w:r>
            <w:r>
              <w:rPr>
                <w:rFonts w:hint="default" w:ascii="Times New Roman" w:hAnsi="Times New Roman" w:eastAsia="宋体" w:cs="Times New Roman"/>
                <w:color w:val="auto"/>
                <w:highlight w:val="none"/>
              </w:rPr>
              <w:t>，</w:t>
            </w:r>
            <w:r>
              <w:rPr>
                <w:rFonts w:hint="default" w:ascii="Times New Roman" w:hAnsi="Times New Roman" w:cs="Times New Roman"/>
                <w:color w:val="auto"/>
                <w:highlight w:val="none"/>
              </w:rPr>
              <w:t>建设情况与《危险废物贮存污染控制标准》（GB18597-20</w:t>
            </w:r>
            <w:r>
              <w:rPr>
                <w:rFonts w:hint="eastAsia" w:ascii="Times New Roman" w:hAnsi="Times New Roman" w:cs="Times New Roman"/>
                <w:color w:val="auto"/>
                <w:highlight w:val="none"/>
                <w:lang w:val="en-US" w:eastAsia="zh-CN"/>
              </w:rPr>
              <w:t>23</w:t>
            </w:r>
            <w:r>
              <w:rPr>
                <w:rFonts w:hint="default" w:ascii="Times New Roman" w:hAnsi="Times New Roman" w:cs="Times New Roman"/>
                <w:color w:val="auto"/>
                <w:highlight w:val="none"/>
              </w:rPr>
              <w:t>）对危险废物贮存设施的选址提出要求对比表如下：</w:t>
            </w:r>
          </w:p>
          <w:p>
            <w:pPr>
              <w:pStyle w:val="45"/>
              <w:bidi w:val="0"/>
              <w:ind w:firstLine="0"/>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表4-</w:t>
            </w:r>
            <w:r>
              <w:rPr>
                <w:rFonts w:hint="eastAsia" w:cs="Times New Roman"/>
                <w:color w:val="auto"/>
                <w:highlight w:val="none"/>
                <w:lang w:val="en-US" w:eastAsia="zh-CN"/>
              </w:rPr>
              <w:t>11</w:t>
            </w:r>
            <w:r>
              <w:rPr>
                <w:rFonts w:hint="default" w:ascii="Times New Roman" w:hAnsi="Times New Roman" w:eastAsia="宋体" w:cs="Times New Roman"/>
                <w:color w:val="auto"/>
                <w:highlight w:val="none"/>
              </w:rPr>
              <w:t xml:space="preserve">   危险废物贮存选址分析一览表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3"/>
              <w:gridCol w:w="4318"/>
              <w:gridCol w:w="3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3"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序号</w:t>
                  </w:r>
                </w:p>
              </w:tc>
              <w:tc>
                <w:tcPr>
                  <w:tcW w:w="4464"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危险废物贮存污染控制标准</w:t>
                  </w:r>
                </w:p>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（GB18597-20</w:t>
                  </w:r>
                  <w:r>
                    <w:rPr>
                      <w:rFonts w:hint="eastAsia" w:ascii="Times New Roman" w:hAnsi="Times New Roman" w:eastAsia="宋体" w:cs="Times New Roman"/>
                      <w:color w:val="auto"/>
                      <w:highlight w:val="none"/>
                      <w:lang w:val="en-US" w:eastAsia="zh-CN"/>
                    </w:rPr>
                    <w:t>23</w:t>
                  </w:r>
                  <w:r>
                    <w:rPr>
                      <w:rFonts w:hint="default" w:ascii="Times New Roman" w:hAnsi="Times New Roman" w:eastAsia="宋体" w:cs="Times New Roman"/>
                      <w:color w:val="auto"/>
                      <w:highlight w:val="none"/>
                      <w:lang w:val="en-US" w:eastAsia="zh-CN"/>
                    </w:rPr>
                    <w:t>）</w:t>
                  </w:r>
                </w:p>
              </w:tc>
              <w:tc>
                <w:tcPr>
                  <w:tcW w:w="3691"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项目危险废物暂存间情况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3"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w:t>
                  </w:r>
                </w:p>
              </w:tc>
              <w:tc>
                <w:tcPr>
                  <w:tcW w:w="4464"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贮存设施选址应满足生态环境保护法律法规、规划和“三线一单”生态环境分区管控的要求，建设项目应依法进行环境影响评价</w:t>
                  </w:r>
                  <w:r>
                    <w:rPr>
                      <w:rFonts w:hint="default" w:ascii="Times New Roman" w:hAnsi="Times New Roman" w:eastAsia="宋体" w:cs="Times New Roman"/>
                      <w:color w:val="auto"/>
                      <w:highlight w:val="none"/>
                      <w:lang w:val="en-US" w:eastAsia="zh-CN"/>
                    </w:rPr>
                    <w:t>。</w:t>
                  </w:r>
                </w:p>
              </w:tc>
              <w:tc>
                <w:tcPr>
                  <w:tcW w:w="3691"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满足相关要求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3"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w:t>
                  </w:r>
                </w:p>
              </w:tc>
              <w:tc>
                <w:tcPr>
                  <w:tcW w:w="4464"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不应选在生态环境保护红线区域、永久基本农田和其他需要特别保护的区域内，不应建在溶洞区或易遭受洪水、滑坡、泥石流、潮汐等严重自然灾害影响的地区</w:t>
                  </w:r>
                  <w:r>
                    <w:rPr>
                      <w:rFonts w:hint="default" w:ascii="Times New Roman" w:hAnsi="Times New Roman" w:eastAsia="宋体" w:cs="Times New Roman"/>
                      <w:color w:val="auto"/>
                      <w:highlight w:val="none"/>
                      <w:lang w:val="en-US" w:eastAsia="zh-CN"/>
                    </w:rPr>
                    <w:t>。</w:t>
                  </w:r>
                </w:p>
              </w:tc>
              <w:tc>
                <w:tcPr>
                  <w:tcW w:w="3691"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为现有危废间，不涉及提及区域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3"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3</w:t>
                  </w:r>
                </w:p>
              </w:tc>
              <w:tc>
                <w:tcPr>
                  <w:tcW w:w="4464"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不应选在江河、湖泊、运河、渠道、水库及其最高水位线以下的滩地和岸坡，以及法律法规规定禁止贮存危险废物的其他地点</w:t>
                  </w:r>
                  <w:r>
                    <w:rPr>
                      <w:rFonts w:hint="default" w:ascii="Times New Roman" w:hAnsi="Times New Roman" w:eastAsia="宋体" w:cs="Times New Roman"/>
                      <w:color w:val="auto"/>
                      <w:highlight w:val="none"/>
                      <w:lang w:val="en-US" w:eastAsia="zh-CN"/>
                    </w:rPr>
                    <w:t>。</w:t>
                  </w:r>
                </w:p>
              </w:tc>
              <w:tc>
                <w:tcPr>
                  <w:tcW w:w="3691"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不涉及提及区域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3"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4</w:t>
                  </w:r>
                </w:p>
              </w:tc>
              <w:tc>
                <w:tcPr>
                  <w:tcW w:w="4464"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依据环境影响评价文件确定</w:t>
                  </w:r>
                  <w:r>
                    <w:rPr>
                      <w:rFonts w:hint="default" w:ascii="Times New Roman" w:hAnsi="Times New Roman" w:eastAsia="宋体" w:cs="Times New Roman"/>
                      <w:color w:val="auto"/>
                      <w:highlight w:val="none"/>
                      <w:lang w:val="en-US" w:eastAsia="zh-CN"/>
                    </w:rPr>
                    <w:t>。</w:t>
                  </w:r>
                </w:p>
              </w:tc>
              <w:tc>
                <w:tcPr>
                  <w:tcW w:w="3691" w:type="dxa"/>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按照之前环评提出位置进行了建设，已建设、验收完毕</w:t>
                  </w:r>
                </w:p>
              </w:tc>
            </w:tr>
          </w:tbl>
          <w:p>
            <w:pPr>
              <w:bidi w:val="0"/>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由上表可知，项目危废间选址可行。</w:t>
            </w:r>
          </w:p>
          <w:p>
            <w:pPr>
              <w:bidi w:val="0"/>
              <w:ind w:firstLine="480" w:firstLineChars="200"/>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由于危废间新增废物为HW08、HW49、HW09类危险废物，仅HW49类废物与现有危废可共存一个区域，但现有危废所占空间仅为2㎡左右（危废间总面积为9㎡），还剩7㎡可供本项目新增危废使用，因此本环评要求企业对现有危废间新增分区用来放置新增危废，且企业危废间已按照要求进行了防腐防渗，因此依托现有危废间可行。</w:t>
            </w:r>
          </w:p>
          <w:p>
            <w:pPr>
              <w:bidi w:val="0"/>
              <w:ind w:firstLine="480" w:firstLineChars="20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（6）</w:t>
            </w:r>
            <w:r>
              <w:rPr>
                <w:rFonts w:hint="default" w:ascii="Times New Roman" w:hAnsi="Times New Roman" w:eastAsia="宋体" w:cs="Times New Roman"/>
                <w:color w:val="auto"/>
                <w:highlight w:val="none"/>
                <w:lang w:val="en-US" w:eastAsia="zh-CN"/>
              </w:rPr>
              <w:t>危险废物运输过程的环境影响分析</w:t>
            </w:r>
          </w:p>
          <w:p>
            <w:pPr>
              <w:bidi w:val="0"/>
              <w:ind w:firstLine="480" w:firstLineChars="20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1）厂外运输</w:t>
            </w:r>
          </w:p>
          <w:p>
            <w:pPr>
              <w:bidi w:val="0"/>
              <w:ind w:firstLine="480" w:firstLineChars="20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危险废物运输单位应持有危险废物经营许可证，并获得交通运输部门颁发的危险货物运输资质；主要采用公路运输，运输过程严格按照《道路危险货物运输管理规定》（交通部 令[2005]第9号）执行；运输车辆按 GB13392设置车辆标志，且在危险废物包装上设置毒性及易燃性标志；工作人员应熟悉其危险特性，配备适当的个人防护装备，并设有收集槽和缓冲罐。</w:t>
            </w:r>
          </w:p>
          <w:p>
            <w:pPr>
              <w:bidi w:val="0"/>
              <w:ind w:firstLine="480" w:firstLineChars="20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w:t>
            </w:r>
            <w:r>
              <w:rPr>
                <w:rFonts w:hint="default" w:ascii="Times New Roman" w:hAnsi="Times New Roman" w:eastAsia="宋体" w:cs="Times New Roman"/>
                <w:color w:val="auto"/>
                <w:highlight w:val="none"/>
                <w:lang w:val="en-US" w:eastAsia="zh-CN"/>
              </w:rPr>
              <w:t>厂内运输</w:t>
            </w:r>
          </w:p>
          <w:p>
            <w:pPr>
              <w:bidi w:val="0"/>
              <w:ind w:firstLine="480" w:firstLineChars="20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危险废物内部转运作业必须按照《危险废物收集、贮存、运输技术规范》（HJ2025-2012；2013-3-1实施）相关规定执行，</w:t>
            </w:r>
            <w:r>
              <w:rPr>
                <w:rFonts w:hint="eastAsia" w:ascii="Times New Roman" w:hAnsi="Times New Roman" w:eastAsia="宋体" w:cs="Times New Roman"/>
                <w:color w:val="auto"/>
                <w:highlight w:val="none"/>
                <w:lang w:val="en-US" w:eastAsia="zh-CN"/>
              </w:rPr>
              <w:t>结合本项目</w:t>
            </w:r>
            <w:r>
              <w:rPr>
                <w:rFonts w:hint="default" w:ascii="Times New Roman" w:hAnsi="Times New Roman" w:eastAsia="宋体" w:cs="Times New Roman"/>
                <w:color w:val="auto"/>
                <w:highlight w:val="none"/>
                <w:lang w:val="en-US" w:eastAsia="zh-CN"/>
              </w:rPr>
              <w:t>重点内容如下：</w:t>
            </w:r>
          </w:p>
          <w:p>
            <w:pPr>
              <w:bidi w:val="0"/>
              <w:ind w:firstLine="480" w:firstLineChars="20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①危险废物内部</w:t>
            </w:r>
            <w:r>
              <w:rPr>
                <w:rFonts w:hint="eastAsia" w:ascii="Times New Roman" w:hAnsi="Times New Roman" w:eastAsia="宋体" w:cs="Times New Roman"/>
                <w:color w:val="auto"/>
                <w:highlight w:val="none"/>
                <w:lang w:val="en-US" w:eastAsia="zh-CN"/>
              </w:rPr>
              <w:t>采用人工转运</w:t>
            </w:r>
            <w:r>
              <w:rPr>
                <w:rFonts w:hint="default" w:ascii="Times New Roman" w:hAnsi="Times New Roman" w:eastAsia="宋体" w:cs="Times New Roman"/>
                <w:color w:val="auto"/>
                <w:highlight w:val="none"/>
                <w:lang w:val="en-US" w:eastAsia="zh-CN"/>
              </w:rPr>
              <w:t>，并填写《危险废物厂内转运记录表》。</w:t>
            </w:r>
          </w:p>
          <w:p>
            <w:pPr>
              <w:bidi w:val="0"/>
              <w:ind w:left="0" w:leftChars="0" w:firstLine="480" w:firstLineChars="20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②危险废物内部转运结束后，应对转运路线进行检查和清理，确保无危险废物遗失在转运路线上，并对转运工具进行清洗。</w:t>
            </w:r>
          </w:p>
          <w:p>
            <w:pPr>
              <w:bidi w:val="0"/>
              <w:ind w:firstLine="480" w:firstLineChars="20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项目产生的危险废物经封闭容器收集后通过</w:t>
            </w:r>
            <w:r>
              <w:rPr>
                <w:rFonts w:hint="eastAsia" w:cs="Times New Roman"/>
                <w:color w:val="auto"/>
                <w:highlight w:val="none"/>
                <w:lang w:val="en-US" w:eastAsia="zh-CN"/>
              </w:rPr>
              <w:t>手推车</w:t>
            </w:r>
            <w:r>
              <w:rPr>
                <w:rFonts w:hint="default" w:ascii="Times New Roman" w:hAnsi="Times New Roman" w:eastAsia="宋体" w:cs="Times New Roman"/>
                <w:color w:val="auto"/>
                <w:highlight w:val="none"/>
                <w:lang w:val="en-US" w:eastAsia="zh-CN"/>
              </w:rPr>
              <w:t>运至危废间。危险废物运输过程中全部采用封闭容器储存，运输道路较短，转运结束后及时对转运路线进行检查和清理，确保无危险废物散落或泄漏在转运路线上。危险废物运输过程中全部采用封闭容器储存，正常情况下不会发生散落或泄漏，同时本项目</w:t>
            </w:r>
            <w:r>
              <w:rPr>
                <w:rFonts w:hint="eastAsia" w:cs="Times New Roman"/>
                <w:color w:val="auto"/>
                <w:highlight w:val="none"/>
                <w:lang w:val="en-US" w:eastAsia="zh-CN"/>
              </w:rPr>
              <w:t>地面</w:t>
            </w:r>
            <w:r>
              <w:rPr>
                <w:rFonts w:hint="default" w:ascii="Times New Roman" w:hAnsi="Times New Roman" w:eastAsia="宋体" w:cs="Times New Roman"/>
                <w:color w:val="auto"/>
                <w:highlight w:val="none"/>
                <w:lang w:val="en-US" w:eastAsia="zh-CN"/>
              </w:rPr>
              <w:t>进行了硬化，可有效阻止泄漏后危险废物的下渗，因此危险废物在运输过程中发生散落或泄漏时，及时清理，不会对周边环境产生明显影响。</w:t>
            </w:r>
          </w:p>
          <w:p>
            <w:pPr>
              <w:bidi w:val="0"/>
              <w:ind w:firstLine="480" w:firstLineChars="20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由于危废暂存间满足防风、防雨、防晒、防渗漏等要求，并设置渗漏收集措施；一旦发生泄漏事故，应立即启动突发环境事件应急预案，不会对周围环境造成影响。</w:t>
            </w:r>
          </w:p>
          <w:p>
            <w:pPr>
              <w:bidi w:val="0"/>
              <w:ind w:firstLine="480" w:firstLineChars="200"/>
              <w:rPr>
                <w:rFonts w:hint="default" w:ascii="Times New Roman" w:hAnsi="Times New Roman" w:cs="Times New Roman"/>
                <w:color w:val="auto"/>
                <w:highlight w:val="none"/>
                <w:lang w:val="en-US" w:eastAsia="zh-CN"/>
              </w:rPr>
            </w:pPr>
            <w:r>
              <w:rPr>
                <w:rFonts w:hint="default" w:ascii="Times New Roman" w:hAnsi="Times New Roman" w:eastAsia="宋体" w:cs="Times New Roman"/>
                <w:color w:val="auto"/>
                <w:highlight w:val="none"/>
                <w:lang w:val="en-US" w:eastAsia="zh-CN"/>
              </w:rPr>
              <w:t>企业危废间设置于</w:t>
            </w:r>
            <w:r>
              <w:rPr>
                <w:rFonts w:hint="eastAsia" w:cs="Times New Roman"/>
                <w:color w:val="auto"/>
                <w:highlight w:val="none"/>
                <w:lang w:val="en-US" w:eastAsia="zh-CN"/>
              </w:rPr>
              <w:t>模具加工车间内</w:t>
            </w:r>
            <w:r>
              <w:rPr>
                <w:rFonts w:hint="default" w:ascii="Times New Roman" w:hAnsi="Times New Roman" w:eastAsia="宋体" w:cs="Times New Roman"/>
                <w:color w:val="auto"/>
                <w:highlight w:val="none"/>
                <w:lang w:val="en-US" w:eastAsia="zh-CN"/>
              </w:rPr>
              <w:t>，且距离危废产生位置较近，使用人工手推车运输，运输过程容器密闭，防</w:t>
            </w:r>
            <w:r>
              <w:rPr>
                <w:rFonts w:hint="default" w:ascii="Times New Roman" w:hAnsi="Times New Roman" w:cs="Times New Roman"/>
                <w:color w:val="auto"/>
                <w:highlight w:val="none"/>
                <w:lang w:val="en-US" w:eastAsia="zh-CN"/>
              </w:rPr>
              <w:t>止危废逸散、散落，运输可行。</w:t>
            </w:r>
          </w:p>
          <w:p>
            <w:pPr>
              <w:spacing w:line="360" w:lineRule="auto"/>
              <w:ind w:firstLine="480" w:firstLineChars="20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综上，危险废物运输严格按照《危险废物收集 贮存 运输技术规范》(HJ2025-2012)相关要求执行，危险废物运输控制措施可行。</w:t>
            </w:r>
          </w:p>
          <w:p>
            <w:pPr>
              <w:spacing w:line="360" w:lineRule="auto"/>
              <w:ind w:firstLine="480" w:firstLineChars="200"/>
              <w:rPr>
                <w:rFonts w:hint="default"/>
                <w:color w:val="auto"/>
                <w:highlight w:val="none"/>
              </w:rPr>
            </w:pPr>
            <w:r>
              <w:rPr>
                <w:rFonts w:hint="default"/>
                <w:color w:val="auto"/>
                <w:highlight w:val="none"/>
              </w:rPr>
              <w:t>（</w:t>
            </w:r>
            <w:r>
              <w:rPr>
                <w:rFonts w:hint="eastAsia"/>
                <w:color w:val="auto"/>
                <w:highlight w:val="none"/>
                <w:lang w:val="en-US" w:eastAsia="zh-CN"/>
              </w:rPr>
              <w:t>7</w:t>
            </w:r>
            <w:r>
              <w:rPr>
                <w:rFonts w:hint="default"/>
                <w:color w:val="auto"/>
                <w:highlight w:val="none"/>
              </w:rPr>
              <w:t>）危险废物环境影响分析综述</w:t>
            </w:r>
          </w:p>
          <w:p>
            <w:pPr>
              <w:spacing w:line="360" w:lineRule="auto"/>
              <w:ind w:firstLine="480" w:firstLineChars="200"/>
              <w:rPr>
                <w:rFonts w:hint="default"/>
                <w:color w:val="auto"/>
                <w:highlight w:val="none"/>
              </w:rPr>
            </w:pPr>
            <w:r>
              <w:rPr>
                <w:rFonts w:hint="default"/>
                <w:color w:val="auto"/>
                <w:highlight w:val="none"/>
              </w:rPr>
              <w:t>本项目产生的各危险废物按照上述措施及要求可实现危险废物的合理处置并可有效避免二次污染，对周围环境影响较小。</w:t>
            </w:r>
          </w:p>
          <w:p>
            <w:pPr>
              <w:pStyle w:val="8"/>
              <w:rPr>
                <w:rFonts w:hint="default"/>
                <w:color w:val="auto"/>
                <w:highlight w:val="none"/>
              </w:rPr>
            </w:pPr>
            <w:r>
              <w:rPr>
                <w:rFonts w:hint="default"/>
                <w:color w:val="auto"/>
                <w:highlight w:val="none"/>
                <w:lang w:val="en-US" w:eastAsia="zh-CN"/>
              </w:rPr>
              <w:t>4.</w:t>
            </w:r>
            <w:r>
              <w:rPr>
                <w:rFonts w:hint="eastAsia"/>
                <w:color w:val="auto"/>
                <w:highlight w:val="none"/>
                <w:lang w:val="en-US" w:eastAsia="zh-CN"/>
              </w:rPr>
              <w:t>3</w:t>
            </w:r>
            <w:r>
              <w:rPr>
                <w:rFonts w:hint="default"/>
                <w:color w:val="auto"/>
                <w:highlight w:val="none"/>
                <w:lang w:val="en-US" w:eastAsia="zh-CN"/>
              </w:rPr>
              <w:t xml:space="preserve"> </w:t>
            </w:r>
            <w:r>
              <w:rPr>
                <w:rFonts w:hint="default"/>
                <w:color w:val="auto"/>
                <w:highlight w:val="none"/>
              </w:rPr>
              <w:t>综述</w:t>
            </w:r>
          </w:p>
          <w:p>
            <w:pPr>
              <w:spacing w:line="360" w:lineRule="auto"/>
              <w:rPr>
                <w:rFonts w:hint="default"/>
                <w:color w:val="auto"/>
                <w:highlight w:val="none"/>
                <w:lang w:val="en-US" w:eastAsia="zh-CN"/>
              </w:rPr>
            </w:pPr>
            <w:r>
              <w:rPr>
                <w:rFonts w:hint="default"/>
                <w:color w:val="auto"/>
                <w:highlight w:val="none"/>
              </w:rPr>
              <w:t>综上所述，只要企业在项目建成后落实上述固废处理措施，做到及时清运，则固废不会对环境造成较大影响。项目所有固体废物均得到了合理处置，对周围环境影响较小。</w:t>
            </w:r>
            <w:r>
              <w:rPr>
                <w:rFonts w:hint="default"/>
                <w:color w:val="auto"/>
                <w:highlight w:val="none"/>
                <w:lang w:val="en-US" w:eastAsia="zh-CN"/>
              </w:rPr>
              <w:t xml:space="preserve"> </w:t>
            </w:r>
          </w:p>
          <w:p>
            <w:pPr>
              <w:pStyle w:val="8"/>
              <w:rPr>
                <w:rFonts w:hint="default"/>
                <w:color w:val="auto"/>
                <w:highlight w:val="none"/>
                <w:lang w:val="en-US" w:eastAsia="zh-CN"/>
              </w:rPr>
            </w:pPr>
            <w:r>
              <w:rPr>
                <w:rFonts w:hint="default"/>
                <w:color w:val="auto"/>
                <w:highlight w:val="none"/>
                <w:lang w:val="en-US" w:eastAsia="zh-CN"/>
              </w:rPr>
              <w:t>5土壤、地下水环境影响分析</w:t>
            </w:r>
          </w:p>
          <w:p>
            <w:pPr>
              <w:spacing w:line="360" w:lineRule="auto"/>
              <w:ind w:firstLine="480" w:firstLineChars="200"/>
              <w:rPr>
                <w:rFonts w:hint="default" w:ascii="Times New Roman" w:hAnsi="Times New Roman" w:eastAsia="宋体" w:cs="Times New Roman"/>
                <w:color w:val="auto"/>
                <w:highlight w:val="none"/>
              </w:rPr>
            </w:pPr>
            <w:r>
              <w:rPr>
                <w:rFonts w:hint="default"/>
                <w:color w:val="auto"/>
                <w:highlight w:val="none"/>
              </w:rPr>
              <w:t>本项目车间内均已采用水泥硬化，使地面可以达到简单防渗的要求。在设备维修保养时应设置防渗钢板托盘，危险废物暂存间内部</w:t>
            </w:r>
            <w:r>
              <w:rPr>
                <w:rFonts w:hint="eastAsia"/>
                <w:color w:val="auto"/>
                <w:highlight w:val="none"/>
                <w:lang w:val="en-US" w:eastAsia="zh-CN"/>
              </w:rPr>
              <w:t>已</w:t>
            </w:r>
            <w:r>
              <w:rPr>
                <w:rFonts w:hint="default"/>
                <w:color w:val="auto"/>
                <w:highlight w:val="none"/>
              </w:rPr>
              <w:t>按照相关要求做好防渗防漏措施。本项目对土壤、地下水环境的影响在可接受范围内。</w:t>
            </w:r>
            <w:r>
              <w:rPr>
                <w:rFonts w:hint="eastAsia"/>
                <w:color w:val="auto"/>
                <w:highlight w:val="none"/>
                <w:lang w:val="en-US" w:eastAsia="zh-CN"/>
              </w:rPr>
              <w:t>分区防渗图见附图4。</w:t>
            </w:r>
          </w:p>
          <w:p>
            <w:pPr>
              <w:pStyle w:val="45"/>
              <w:bidi w:val="0"/>
              <w:ind w:firstLine="0"/>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表</w:t>
            </w:r>
            <w:r>
              <w:rPr>
                <w:rFonts w:hint="eastAsia" w:cs="Times New Roman"/>
                <w:color w:val="auto"/>
                <w:highlight w:val="none"/>
                <w:lang w:val="en-US" w:eastAsia="zh-CN"/>
              </w:rPr>
              <w:t xml:space="preserve">4-12 </w:t>
            </w:r>
            <w:r>
              <w:rPr>
                <w:rFonts w:hint="default" w:ascii="Times New Roman" w:hAnsi="Times New Roman" w:eastAsia="宋体" w:cs="Times New Roman"/>
                <w:color w:val="auto"/>
                <w:highlight w:val="none"/>
              </w:rPr>
              <w:t>分区防渗情况一览表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1637"/>
              <w:gridCol w:w="2084"/>
              <w:gridCol w:w="3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2" w:type="pct"/>
                  <w:tcBorders>
                    <w:top w:val="single" w:color="auto" w:sz="4" w:space="0"/>
                    <w:left w:val="single" w:color="auto" w:sz="4" w:space="0"/>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序号</w:t>
                  </w:r>
                </w:p>
              </w:tc>
              <w:tc>
                <w:tcPr>
                  <w:tcW w:w="980" w:type="pct"/>
                  <w:tcBorders>
                    <w:top w:val="single" w:color="auto" w:sz="4" w:space="0"/>
                    <w:left w:val="nil"/>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防渗分区</w:t>
                  </w:r>
                </w:p>
              </w:tc>
              <w:tc>
                <w:tcPr>
                  <w:tcW w:w="1248" w:type="pct"/>
                  <w:tcBorders>
                    <w:top w:val="single" w:color="auto" w:sz="4" w:space="0"/>
                    <w:left w:val="nil"/>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名称</w:t>
                  </w:r>
                </w:p>
              </w:tc>
              <w:tc>
                <w:tcPr>
                  <w:tcW w:w="2310" w:type="pct"/>
                  <w:tcBorders>
                    <w:top w:val="single" w:color="auto" w:sz="4" w:space="0"/>
                    <w:left w:val="nil"/>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防渗效果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2" w:type="pct"/>
                  <w:tcBorders>
                    <w:top w:val="single" w:color="auto" w:sz="4" w:space="0"/>
                    <w:left w:val="single" w:color="auto" w:sz="4" w:space="0"/>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w:t>
                  </w:r>
                </w:p>
              </w:tc>
              <w:tc>
                <w:tcPr>
                  <w:tcW w:w="980" w:type="pct"/>
                  <w:tcBorders>
                    <w:top w:val="single" w:color="auto" w:sz="4" w:space="0"/>
                    <w:left w:val="nil"/>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重点防渗区</w:t>
                  </w:r>
                </w:p>
              </w:tc>
              <w:tc>
                <w:tcPr>
                  <w:tcW w:w="1248" w:type="pct"/>
                  <w:tcBorders>
                    <w:top w:val="single" w:color="auto" w:sz="4" w:space="0"/>
                    <w:left w:val="nil"/>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危废暂存间</w:t>
                  </w:r>
                </w:p>
              </w:tc>
              <w:tc>
                <w:tcPr>
                  <w:tcW w:w="2310" w:type="pct"/>
                  <w:tcBorders>
                    <w:top w:val="single" w:color="auto" w:sz="4" w:space="0"/>
                    <w:left w:val="nil"/>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等效黏土防渗层Mb≥6.0m，K≤1×10</w:t>
                  </w:r>
                  <w:r>
                    <w:rPr>
                      <w:rFonts w:hint="default" w:ascii="Times New Roman" w:hAnsi="Times New Roman" w:eastAsia="宋体" w:cs="Times New Roman"/>
                      <w:color w:val="auto"/>
                      <w:highlight w:val="none"/>
                      <w:vertAlign w:val="superscript"/>
                      <w:lang w:val="en-US" w:eastAsia="zh-CN"/>
                    </w:rPr>
                    <w:t>-10</w:t>
                  </w:r>
                  <w:r>
                    <w:rPr>
                      <w:rFonts w:hint="default" w:ascii="Times New Roman" w:hAnsi="Times New Roman" w:eastAsia="宋体" w:cs="Times New Roman"/>
                      <w:color w:val="auto"/>
                      <w:highlight w:val="none"/>
                      <w:lang w:val="en-US" w:eastAsia="zh-CN"/>
                    </w:rPr>
                    <w:t>cm/s；或参考GB18598执行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2" w:type="pct"/>
                  <w:tcBorders>
                    <w:top w:val="single" w:color="auto" w:sz="4" w:space="0"/>
                    <w:left w:val="single" w:color="auto" w:sz="4" w:space="0"/>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w:t>
                  </w:r>
                </w:p>
              </w:tc>
              <w:tc>
                <w:tcPr>
                  <w:tcW w:w="980" w:type="pct"/>
                  <w:tcBorders>
                    <w:top w:val="single" w:color="auto" w:sz="4" w:space="0"/>
                    <w:left w:val="nil"/>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一般防渗区</w:t>
                  </w:r>
                </w:p>
              </w:tc>
              <w:tc>
                <w:tcPr>
                  <w:tcW w:w="1248" w:type="pct"/>
                  <w:tcBorders>
                    <w:top w:val="single" w:color="auto" w:sz="4" w:space="0"/>
                    <w:left w:val="nil"/>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生产车间</w:t>
                  </w:r>
                </w:p>
              </w:tc>
              <w:tc>
                <w:tcPr>
                  <w:tcW w:w="2310" w:type="pct"/>
                  <w:tcBorders>
                    <w:top w:val="single" w:color="auto" w:sz="4" w:space="0"/>
                    <w:left w:val="nil"/>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等效黏土防渗层Mb≥1.5m，K≤1×10</w:t>
                  </w:r>
                  <w:r>
                    <w:rPr>
                      <w:rFonts w:hint="default" w:ascii="Times New Roman" w:hAnsi="Times New Roman" w:eastAsia="宋体" w:cs="Times New Roman"/>
                      <w:color w:val="auto"/>
                      <w:highlight w:val="none"/>
                      <w:vertAlign w:val="superscript"/>
                      <w:lang w:val="en-US" w:eastAsia="zh-CN"/>
                    </w:rPr>
                    <w:t>-7</w:t>
                  </w:r>
                  <w:r>
                    <w:rPr>
                      <w:rFonts w:hint="default" w:ascii="Times New Roman" w:hAnsi="Times New Roman" w:eastAsia="宋体" w:cs="Times New Roman"/>
                      <w:color w:val="auto"/>
                      <w:highlight w:val="none"/>
                      <w:lang w:val="en-US" w:eastAsia="zh-CN"/>
                    </w:rPr>
                    <w:t>cm/s；或参考GB16889执行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2" w:type="pct"/>
                  <w:tcBorders>
                    <w:top w:val="single" w:color="auto" w:sz="4" w:space="0"/>
                    <w:left w:val="single" w:color="auto" w:sz="4" w:space="0"/>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3</w:t>
                  </w:r>
                </w:p>
              </w:tc>
              <w:tc>
                <w:tcPr>
                  <w:tcW w:w="980" w:type="pct"/>
                  <w:tcBorders>
                    <w:top w:val="single" w:color="auto" w:sz="4" w:space="0"/>
                    <w:left w:val="nil"/>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简单防渗区</w:t>
                  </w:r>
                </w:p>
              </w:tc>
              <w:tc>
                <w:tcPr>
                  <w:tcW w:w="1248" w:type="pct"/>
                  <w:tcBorders>
                    <w:top w:val="single" w:color="auto" w:sz="4" w:space="0"/>
                    <w:left w:val="nil"/>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其他区域</w:t>
                  </w:r>
                  <w:r>
                    <w:rPr>
                      <w:rFonts w:hint="eastAsia" w:ascii="Times New Roman" w:hAnsi="Times New Roman" w:eastAsia="宋体" w:cs="Times New Roman"/>
                      <w:color w:val="auto"/>
                      <w:highlight w:val="none"/>
                      <w:lang w:val="en-US" w:eastAsia="zh-CN"/>
                    </w:rPr>
                    <w:t>及办公室</w:t>
                  </w:r>
                </w:p>
              </w:tc>
              <w:tc>
                <w:tcPr>
                  <w:tcW w:w="2310" w:type="pct"/>
                  <w:tcBorders>
                    <w:top w:val="single" w:color="auto" w:sz="4" w:space="0"/>
                    <w:left w:val="nil"/>
                    <w:bottom w:val="single" w:color="auto" w:sz="4" w:space="0"/>
                    <w:right w:val="single" w:color="auto" w:sz="4" w:space="0"/>
                  </w:tcBorders>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一般地面硬化</w:t>
                  </w:r>
                </w:p>
              </w:tc>
            </w:tr>
          </w:tbl>
          <w:p>
            <w:pPr>
              <w:pStyle w:val="8"/>
              <w:rPr>
                <w:rFonts w:hint="default"/>
                <w:color w:val="auto"/>
                <w:highlight w:val="none"/>
                <w:lang w:val="en-US" w:eastAsia="zh-CN"/>
              </w:rPr>
            </w:pPr>
            <w:r>
              <w:rPr>
                <w:rFonts w:hint="default"/>
                <w:color w:val="auto"/>
                <w:highlight w:val="none"/>
                <w:lang w:val="en-US" w:eastAsia="zh-CN"/>
              </w:rPr>
              <w:t>6风险影响评价</w:t>
            </w:r>
          </w:p>
          <w:p>
            <w:pPr>
              <w:pStyle w:val="7"/>
              <w:spacing w:line="360" w:lineRule="auto"/>
              <w:ind w:firstLine="0" w:firstLineChars="0"/>
              <w:rPr>
                <w:rFonts w:hint="eastAsia" w:ascii="Times New Roman" w:hAnsi="Times New Roman" w:eastAsia="宋体" w:cs="Times New Roman"/>
                <w:b/>
                <w:color w:val="auto"/>
                <w:kern w:val="2"/>
                <w:sz w:val="24"/>
                <w:szCs w:val="21"/>
                <w:highlight w:val="none"/>
                <w:lang w:val="en-US" w:eastAsia="zh-CN" w:bidi="ar-SA"/>
              </w:rPr>
            </w:pPr>
            <w:r>
              <w:rPr>
                <w:rFonts w:hint="eastAsia" w:ascii="Times New Roman" w:hAnsi="Times New Roman" w:eastAsia="宋体" w:cs="Times New Roman"/>
                <w:b/>
                <w:color w:val="auto"/>
                <w:kern w:val="2"/>
                <w:sz w:val="24"/>
                <w:szCs w:val="21"/>
                <w:highlight w:val="none"/>
                <w:lang w:val="en-US" w:eastAsia="zh-CN" w:bidi="ar-SA"/>
              </w:rPr>
              <w:t>6.1危险物质</w:t>
            </w:r>
          </w:p>
          <w:p>
            <w:pPr>
              <w:widowControl/>
              <w:spacing w:line="360" w:lineRule="auto"/>
              <w:ind w:firstLine="480" w:firstLineChars="200"/>
              <w:rPr>
                <w:rFonts w:hint="default"/>
                <w:color w:val="auto"/>
                <w:highlight w:val="none"/>
              </w:rPr>
            </w:pPr>
            <w:r>
              <w:rPr>
                <w:rFonts w:hint="default"/>
                <w:color w:val="auto"/>
                <w:highlight w:val="none"/>
              </w:rPr>
              <w:t>本项目在生产过程中使用</w:t>
            </w:r>
            <w:r>
              <w:rPr>
                <w:rFonts w:hint="eastAsia"/>
                <w:color w:val="auto"/>
                <w:highlight w:val="none"/>
                <w:lang w:val="en-US" w:eastAsia="zh-CN"/>
              </w:rPr>
              <w:t>的导轨油、乳化液</w:t>
            </w:r>
            <w:r>
              <w:rPr>
                <w:rFonts w:hint="default"/>
                <w:color w:val="auto"/>
                <w:highlight w:val="none"/>
              </w:rPr>
              <w:t>都属于危险品。危险废物暂存间暂存的危险废物会发生燃烧、泄漏等事故，危害周边环境及人员安全。</w:t>
            </w:r>
          </w:p>
          <w:p>
            <w:pPr>
              <w:widowControl/>
              <w:spacing w:line="360" w:lineRule="auto"/>
              <w:ind w:firstLine="480" w:firstLineChars="200"/>
              <w:rPr>
                <w:rFonts w:hint="default"/>
                <w:color w:val="auto"/>
                <w:highlight w:val="none"/>
              </w:rPr>
            </w:pPr>
            <w:r>
              <w:rPr>
                <w:rFonts w:hint="default"/>
                <w:color w:val="auto"/>
                <w:highlight w:val="none"/>
              </w:rPr>
              <w:t>（1）环保设施</w:t>
            </w:r>
          </w:p>
          <w:p>
            <w:pPr>
              <w:widowControl/>
              <w:spacing w:line="360" w:lineRule="auto"/>
              <w:ind w:firstLine="480" w:firstLineChars="200"/>
              <w:rPr>
                <w:rFonts w:hint="default"/>
                <w:color w:val="auto"/>
                <w:highlight w:val="none"/>
              </w:rPr>
            </w:pPr>
            <w:r>
              <w:rPr>
                <w:rFonts w:hint="default"/>
                <w:color w:val="auto"/>
                <w:highlight w:val="none"/>
              </w:rPr>
              <w:t>本项目涉及的环保设施（危废暂存间）。</w:t>
            </w:r>
          </w:p>
          <w:p>
            <w:pPr>
              <w:pStyle w:val="8"/>
              <w:ind w:firstLine="480" w:firstLineChars="200"/>
              <w:rPr>
                <w:rFonts w:hint="default" w:ascii="Times New Roman" w:hAnsi="Times New Roman" w:eastAsia="宋体" w:cs="Times New Roman"/>
                <w:b w:val="0"/>
                <w:color w:val="auto"/>
                <w:kern w:val="2"/>
                <w:sz w:val="24"/>
                <w:szCs w:val="24"/>
                <w:highlight w:val="none"/>
                <w:lang w:val="en-US" w:eastAsia="zh-CN" w:bidi="ar-SA"/>
              </w:rPr>
            </w:pPr>
            <w:r>
              <w:rPr>
                <w:rFonts w:hint="default" w:ascii="Times New Roman" w:hAnsi="Times New Roman" w:eastAsia="宋体" w:cs="Times New Roman"/>
                <w:b w:val="0"/>
                <w:color w:val="auto"/>
                <w:kern w:val="2"/>
                <w:sz w:val="24"/>
                <w:szCs w:val="24"/>
                <w:highlight w:val="none"/>
                <w:lang w:val="en-US" w:eastAsia="zh-CN" w:bidi="ar-SA"/>
              </w:rPr>
              <w:t>危险废物暂存间中暂存的</w:t>
            </w:r>
            <w:r>
              <w:rPr>
                <w:rFonts w:hint="eastAsia" w:cs="Times New Roman"/>
                <w:b w:val="0"/>
                <w:color w:val="auto"/>
                <w:kern w:val="2"/>
                <w:sz w:val="24"/>
                <w:szCs w:val="24"/>
                <w:highlight w:val="none"/>
                <w:lang w:val="en-US" w:eastAsia="zh-CN" w:bidi="ar-SA"/>
              </w:rPr>
              <w:t>废导轨油桶、废切削液桶、废含切削液金属屑、废切削液</w:t>
            </w:r>
            <w:r>
              <w:rPr>
                <w:rFonts w:hint="eastAsia" w:ascii="Times New Roman" w:hAnsi="Times New Roman" w:eastAsia="宋体" w:cs="Times New Roman"/>
                <w:b w:val="0"/>
                <w:color w:val="auto"/>
                <w:kern w:val="2"/>
                <w:sz w:val="24"/>
                <w:szCs w:val="24"/>
                <w:highlight w:val="none"/>
                <w:lang w:val="en-US" w:eastAsia="zh-CN" w:bidi="ar-SA"/>
              </w:rPr>
              <w:t>若</w:t>
            </w:r>
            <w:r>
              <w:rPr>
                <w:rFonts w:hint="default" w:ascii="Times New Roman" w:hAnsi="Times New Roman" w:eastAsia="宋体" w:cs="Times New Roman"/>
                <w:b w:val="0"/>
                <w:color w:val="auto"/>
                <w:kern w:val="2"/>
                <w:sz w:val="24"/>
                <w:szCs w:val="24"/>
                <w:highlight w:val="none"/>
                <w:lang w:val="en-US" w:eastAsia="zh-CN" w:bidi="ar-SA"/>
              </w:rPr>
              <w:t>处置不当、贮存不当，易</w:t>
            </w:r>
            <w:r>
              <w:rPr>
                <w:rFonts w:hint="eastAsia" w:cs="Times New Roman"/>
                <w:b w:val="0"/>
                <w:color w:val="auto"/>
                <w:kern w:val="2"/>
                <w:sz w:val="24"/>
                <w:szCs w:val="24"/>
                <w:highlight w:val="none"/>
                <w:lang w:val="en-US" w:eastAsia="zh-CN" w:bidi="ar-SA"/>
              </w:rPr>
              <w:t>泄漏</w:t>
            </w:r>
            <w:r>
              <w:rPr>
                <w:rFonts w:hint="eastAsia" w:ascii="Times New Roman" w:hAnsi="Times New Roman" w:eastAsia="宋体" w:cs="Times New Roman"/>
                <w:b w:val="0"/>
                <w:color w:val="auto"/>
                <w:kern w:val="2"/>
                <w:sz w:val="24"/>
                <w:szCs w:val="24"/>
                <w:highlight w:val="none"/>
                <w:lang w:val="en-US" w:eastAsia="zh-CN" w:bidi="ar-SA"/>
              </w:rPr>
              <w:t>、</w:t>
            </w:r>
            <w:r>
              <w:rPr>
                <w:rFonts w:hint="default" w:ascii="Times New Roman" w:hAnsi="Times New Roman" w:eastAsia="宋体" w:cs="Times New Roman"/>
                <w:b w:val="0"/>
                <w:color w:val="auto"/>
                <w:kern w:val="2"/>
                <w:sz w:val="24"/>
                <w:szCs w:val="24"/>
                <w:highlight w:val="none"/>
                <w:lang w:val="en-US" w:eastAsia="zh-CN" w:bidi="ar-SA"/>
              </w:rPr>
              <w:t>燃烧，对大气环境造成影响。</w:t>
            </w:r>
          </w:p>
          <w:p>
            <w:pPr>
              <w:widowControl/>
              <w:numPr>
                <w:ilvl w:val="0"/>
                <w:numId w:val="0"/>
              </w:numPr>
              <w:ind w:leftChars="200"/>
              <w:rPr>
                <w:rFonts w:hint="default"/>
                <w:color w:val="auto"/>
                <w:highlight w:val="none"/>
                <w:lang w:val="en-US" w:eastAsia="zh-CN"/>
              </w:rPr>
            </w:pPr>
            <w:r>
              <w:rPr>
                <w:rFonts w:hint="eastAsia"/>
                <w:color w:val="auto"/>
                <w:highlight w:val="none"/>
                <w:lang w:val="en-US" w:eastAsia="zh-CN"/>
              </w:rPr>
              <w:t>（2）导轨油、切削液</w:t>
            </w:r>
          </w:p>
          <w:p>
            <w:pPr>
              <w:spacing w:line="360" w:lineRule="auto"/>
              <w:ind w:firstLine="480" w:firstLineChars="200"/>
              <w:rPr>
                <w:rFonts w:hint="default"/>
                <w:color w:val="auto"/>
                <w:highlight w:val="none"/>
              </w:rPr>
            </w:pPr>
            <w:r>
              <w:rPr>
                <w:rFonts w:hint="default"/>
                <w:color w:val="auto"/>
                <w:highlight w:val="none"/>
              </w:rPr>
              <w:t>包装方法：桶装。</w:t>
            </w:r>
          </w:p>
          <w:p>
            <w:pPr>
              <w:pStyle w:val="8"/>
              <w:ind w:firstLine="480" w:firstLineChars="200"/>
              <w:rPr>
                <w:rFonts w:hint="default" w:ascii="Times New Roman" w:hAnsi="Times New Roman" w:eastAsia="宋体" w:cs="Times New Roman"/>
                <w:b w:val="0"/>
                <w:color w:val="auto"/>
                <w:kern w:val="2"/>
                <w:sz w:val="24"/>
                <w:szCs w:val="24"/>
                <w:highlight w:val="none"/>
                <w:lang w:val="en-US" w:eastAsia="zh-CN" w:bidi="ar-SA"/>
              </w:rPr>
            </w:pPr>
            <w:r>
              <w:rPr>
                <w:rFonts w:hint="default" w:ascii="Times New Roman" w:hAnsi="Times New Roman" w:eastAsia="宋体" w:cs="Times New Roman"/>
                <w:b w:val="0"/>
                <w:color w:val="auto"/>
                <w:kern w:val="2"/>
                <w:sz w:val="24"/>
                <w:szCs w:val="24"/>
                <w:highlight w:val="none"/>
                <w:lang w:val="en-US" w:eastAsia="zh-CN" w:bidi="ar-SA"/>
              </w:rPr>
              <w:t>使用量和最大储存量：</w:t>
            </w:r>
            <w:r>
              <w:rPr>
                <w:rFonts w:hint="eastAsia" w:ascii="Times New Roman" w:hAnsi="Times New Roman" w:eastAsia="宋体" w:cs="Times New Roman"/>
                <w:b w:val="0"/>
                <w:color w:val="auto"/>
                <w:kern w:val="2"/>
                <w:sz w:val="24"/>
                <w:szCs w:val="24"/>
                <w:highlight w:val="none"/>
                <w:lang w:val="en-US" w:eastAsia="zh-CN" w:bidi="ar-SA"/>
              </w:rPr>
              <w:t>导轨油</w:t>
            </w:r>
            <w:r>
              <w:rPr>
                <w:rFonts w:hint="default" w:ascii="Times New Roman" w:hAnsi="Times New Roman" w:eastAsia="宋体" w:cs="Times New Roman"/>
                <w:b w:val="0"/>
                <w:color w:val="auto"/>
                <w:kern w:val="2"/>
                <w:sz w:val="24"/>
                <w:szCs w:val="24"/>
                <w:highlight w:val="none"/>
                <w:lang w:val="en-US" w:eastAsia="zh-CN" w:bidi="ar-SA"/>
              </w:rPr>
              <w:t>使用量为0</w:t>
            </w:r>
            <w:r>
              <w:rPr>
                <w:rFonts w:hint="eastAsia" w:ascii="Times New Roman" w:hAnsi="Times New Roman" w:eastAsia="宋体" w:cs="Times New Roman"/>
                <w:b w:val="0"/>
                <w:color w:val="auto"/>
                <w:kern w:val="2"/>
                <w:sz w:val="24"/>
                <w:szCs w:val="24"/>
                <w:highlight w:val="none"/>
                <w:lang w:val="en-US" w:eastAsia="zh-CN" w:bidi="ar-SA"/>
              </w:rPr>
              <w:t>.38</w:t>
            </w:r>
            <w:r>
              <w:rPr>
                <w:rFonts w:hint="default" w:ascii="Times New Roman" w:hAnsi="Times New Roman" w:eastAsia="宋体" w:cs="Times New Roman"/>
                <w:b w:val="0"/>
                <w:color w:val="auto"/>
                <w:kern w:val="2"/>
                <w:sz w:val="24"/>
                <w:szCs w:val="24"/>
                <w:highlight w:val="none"/>
                <w:lang w:val="en-US" w:eastAsia="zh-CN" w:bidi="ar-SA"/>
              </w:rPr>
              <w:t>t</w:t>
            </w:r>
            <w:r>
              <w:rPr>
                <w:rFonts w:hint="eastAsia" w:ascii="Times New Roman" w:hAnsi="Times New Roman" w:eastAsia="宋体" w:cs="Times New Roman"/>
                <w:b w:val="0"/>
                <w:color w:val="auto"/>
                <w:kern w:val="2"/>
                <w:sz w:val="24"/>
                <w:szCs w:val="24"/>
                <w:highlight w:val="none"/>
                <w:lang w:val="en-US" w:eastAsia="zh-CN" w:bidi="ar-SA"/>
              </w:rPr>
              <w:t>/a</w:t>
            </w:r>
            <w:r>
              <w:rPr>
                <w:rFonts w:hint="default" w:ascii="Times New Roman" w:hAnsi="Times New Roman" w:eastAsia="宋体" w:cs="Times New Roman"/>
                <w:b w:val="0"/>
                <w:color w:val="auto"/>
                <w:kern w:val="2"/>
                <w:sz w:val="24"/>
                <w:szCs w:val="24"/>
                <w:highlight w:val="none"/>
                <w:lang w:val="en-US" w:eastAsia="zh-CN" w:bidi="ar-SA"/>
              </w:rPr>
              <w:t>，最大储存量为</w:t>
            </w:r>
            <w:r>
              <w:rPr>
                <w:rFonts w:hint="eastAsia" w:ascii="Times New Roman" w:hAnsi="Times New Roman" w:eastAsia="宋体" w:cs="Times New Roman"/>
                <w:b w:val="0"/>
                <w:color w:val="auto"/>
                <w:kern w:val="2"/>
                <w:sz w:val="24"/>
                <w:szCs w:val="24"/>
                <w:highlight w:val="none"/>
                <w:lang w:val="en-US" w:eastAsia="zh-CN" w:bidi="ar-SA"/>
              </w:rPr>
              <w:t>0.19</w:t>
            </w:r>
            <w:r>
              <w:rPr>
                <w:rFonts w:hint="default" w:ascii="Times New Roman" w:hAnsi="Times New Roman" w:eastAsia="宋体" w:cs="Times New Roman"/>
                <w:b w:val="0"/>
                <w:color w:val="auto"/>
                <w:kern w:val="2"/>
                <w:sz w:val="24"/>
                <w:szCs w:val="24"/>
                <w:highlight w:val="none"/>
                <w:lang w:val="en-US" w:eastAsia="zh-CN" w:bidi="ar-SA"/>
              </w:rPr>
              <w:t>t。</w:t>
            </w:r>
            <w:r>
              <w:rPr>
                <w:rFonts w:hint="eastAsia" w:ascii="Times New Roman" w:hAnsi="Times New Roman" w:eastAsia="宋体" w:cs="Times New Roman"/>
                <w:b w:val="0"/>
                <w:color w:val="auto"/>
                <w:kern w:val="2"/>
                <w:sz w:val="24"/>
                <w:szCs w:val="24"/>
                <w:highlight w:val="none"/>
                <w:lang w:val="en-US" w:eastAsia="zh-CN" w:bidi="ar-SA"/>
              </w:rPr>
              <w:t>切削液</w:t>
            </w:r>
            <w:r>
              <w:rPr>
                <w:rFonts w:hint="default" w:ascii="Times New Roman" w:hAnsi="Times New Roman" w:eastAsia="宋体" w:cs="Times New Roman"/>
                <w:b w:val="0"/>
                <w:color w:val="auto"/>
                <w:kern w:val="2"/>
                <w:sz w:val="24"/>
                <w:szCs w:val="24"/>
                <w:highlight w:val="none"/>
                <w:lang w:val="en-US" w:eastAsia="zh-CN" w:bidi="ar-SA"/>
              </w:rPr>
              <w:t>使用量为0</w:t>
            </w:r>
            <w:r>
              <w:rPr>
                <w:rFonts w:hint="eastAsia" w:ascii="Times New Roman" w:hAnsi="Times New Roman" w:eastAsia="宋体" w:cs="Times New Roman"/>
                <w:b w:val="0"/>
                <w:color w:val="auto"/>
                <w:kern w:val="2"/>
                <w:sz w:val="24"/>
                <w:szCs w:val="24"/>
                <w:highlight w:val="none"/>
                <w:lang w:val="en-US" w:eastAsia="zh-CN" w:bidi="ar-SA"/>
              </w:rPr>
              <w:t>.57</w:t>
            </w:r>
            <w:r>
              <w:rPr>
                <w:rFonts w:hint="default" w:ascii="Times New Roman" w:hAnsi="Times New Roman" w:eastAsia="宋体" w:cs="Times New Roman"/>
                <w:b w:val="0"/>
                <w:color w:val="auto"/>
                <w:kern w:val="2"/>
                <w:sz w:val="24"/>
                <w:szCs w:val="24"/>
                <w:highlight w:val="none"/>
                <w:lang w:val="en-US" w:eastAsia="zh-CN" w:bidi="ar-SA"/>
              </w:rPr>
              <w:t>t</w:t>
            </w:r>
            <w:r>
              <w:rPr>
                <w:rFonts w:hint="eastAsia" w:ascii="Times New Roman" w:hAnsi="Times New Roman" w:eastAsia="宋体" w:cs="Times New Roman"/>
                <w:b w:val="0"/>
                <w:color w:val="auto"/>
                <w:kern w:val="2"/>
                <w:sz w:val="24"/>
                <w:szCs w:val="24"/>
                <w:highlight w:val="none"/>
                <w:lang w:val="en-US" w:eastAsia="zh-CN" w:bidi="ar-SA"/>
              </w:rPr>
              <w:t>/a</w:t>
            </w:r>
            <w:r>
              <w:rPr>
                <w:rFonts w:hint="default" w:ascii="Times New Roman" w:hAnsi="Times New Roman" w:eastAsia="宋体" w:cs="Times New Roman"/>
                <w:b w:val="0"/>
                <w:color w:val="auto"/>
                <w:kern w:val="2"/>
                <w:sz w:val="24"/>
                <w:szCs w:val="24"/>
                <w:highlight w:val="none"/>
                <w:lang w:val="en-US" w:eastAsia="zh-CN" w:bidi="ar-SA"/>
              </w:rPr>
              <w:t>，最大储存量为</w:t>
            </w:r>
            <w:r>
              <w:rPr>
                <w:rFonts w:hint="eastAsia" w:ascii="Times New Roman" w:hAnsi="Times New Roman" w:eastAsia="宋体" w:cs="Times New Roman"/>
                <w:b w:val="0"/>
                <w:color w:val="auto"/>
                <w:kern w:val="2"/>
                <w:sz w:val="24"/>
                <w:szCs w:val="24"/>
                <w:highlight w:val="none"/>
                <w:lang w:val="en-US" w:eastAsia="zh-CN" w:bidi="ar-SA"/>
              </w:rPr>
              <w:t>0.19</w:t>
            </w:r>
            <w:r>
              <w:rPr>
                <w:rFonts w:hint="default" w:ascii="Times New Roman" w:hAnsi="Times New Roman" w:eastAsia="宋体" w:cs="Times New Roman"/>
                <w:b w:val="0"/>
                <w:color w:val="auto"/>
                <w:kern w:val="2"/>
                <w:sz w:val="24"/>
                <w:szCs w:val="24"/>
                <w:highlight w:val="none"/>
                <w:lang w:val="en-US" w:eastAsia="zh-CN" w:bidi="ar-SA"/>
              </w:rPr>
              <w:t>t。</w:t>
            </w:r>
          </w:p>
          <w:p>
            <w:pPr>
              <w:pStyle w:val="8"/>
              <w:ind w:firstLine="480" w:firstLineChars="200"/>
              <w:rPr>
                <w:rFonts w:hint="default" w:ascii="Times New Roman" w:hAnsi="Times New Roman" w:eastAsia="宋体" w:cs="Times New Roman"/>
                <w:b w:val="0"/>
                <w:color w:val="auto"/>
                <w:kern w:val="2"/>
                <w:sz w:val="24"/>
                <w:szCs w:val="24"/>
                <w:highlight w:val="none"/>
                <w:lang w:val="en-US" w:eastAsia="zh-CN" w:bidi="ar-SA"/>
              </w:rPr>
            </w:pPr>
            <w:r>
              <w:rPr>
                <w:rFonts w:hint="eastAsia" w:ascii="Times New Roman" w:hAnsi="Times New Roman" w:eastAsia="宋体" w:cs="Times New Roman"/>
                <w:b w:val="0"/>
                <w:color w:val="auto"/>
                <w:kern w:val="2"/>
                <w:sz w:val="24"/>
                <w:szCs w:val="24"/>
                <w:highlight w:val="none"/>
                <w:lang w:val="en-US" w:eastAsia="zh-CN" w:bidi="ar-SA"/>
              </w:rPr>
              <w:t>导轨油、切削液均暂存于备品库房内，若存储不当，会导致油类物质泄漏，污染土壤、地下水；同时泄漏物遇明火会引发火灾，影响大气环境。</w:t>
            </w:r>
          </w:p>
          <w:p>
            <w:pPr>
              <w:spacing w:line="360" w:lineRule="auto"/>
              <w:ind w:firstLine="480" w:firstLineChars="200"/>
              <w:rPr>
                <w:rFonts w:hint="default"/>
                <w:color w:val="auto"/>
                <w:highlight w:val="none"/>
              </w:rPr>
            </w:pPr>
            <w:r>
              <w:rPr>
                <w:rFonts w:hint="default"/>
                <w:color w:val="auto"/>
                <w:highlight w:val="none"/>
              </w:rPr>
              <w:t>理化性质如下表：</w:t>
            </w:r>
          </w:p>
          <w:p>
            <w:pPr>
              <w:spacing w:line="240" w:lineRule="auto"/>
              <w:ind w:left="480" w:leftChars="200" w:firstLine="2168" w:firstLineChars="900"/>
              <w:jc w:val="both"/>
              <w:rPr>
                <w:rFonts w:hint="default"/>
                <w:b/>
                <w:bCs/>
                <w:color w:val="auto"/>
                <w:highlight w:val="none"/>
                <w:lang w:val="en-US" w:eastAsia="zh-CN"/>
              </w:rPr>
            </w:pPr>
            <w:r>
              <w:rPr>
                <w:rFonts w:hint="default"/>
                <w:b/>
                <w:bCs/>
                <w:color w:val="auto"/>
                <w:highlight w:val="none"/>
                <w:lang w:val="en-US" w:eastAsia="zh-CN"/>
              </w:rPr>
              <w:t>表</w:t>
            </w:r>
            <w:r>
              <w:rPr>
                <w:rFonts w:hint="eastAsia"/>
                <w:b/>
                <w:bCs/>
                <w:color w:val="auto"/>
                <w:highlight w:val="none"/>
                <w:lang w:val="en-US" w:eastAsia="zh-CN"/>
              </w:rPr>
              <w:t>4-13 导轨油</w:t>
            </w:r>
            <w:r>
              <w:rPr>
                <w:rFonts w:hint="default"/>
                <w:b/>
                <w:bCs/>
                <w:color w:val="auto"/>
                <w:highlight w:val="none"/>
                <w:lang w:val="en-US" w:eastAsia="zh-CN"/>
              </w:rPr>
              <w:t>理化性质一览表</w:t>
            </w:r>
          </w:p>
          <w:tbl>
            <w:tblPr>
              <w:tblStyle w:val="31"/>
              <w:tblW w:w="5000" w:type="pct"/>
              <w:jc w:val="center"/>
              <w:tblBorders>
                <w:top w:val="single" w:color="auto" w:sz="6" w:space="0"/>
                <w:left w:val="single" w:color="auto" w:sz="6" w:space="0"/>
                <w:bottom w:val="single" w:color="auto" w:sz="6" w:space="0"/>
                <w:right w:val="single" w:color="auto" w:sz="6" w:space="0"/>
                <w:insideH w:val="none" w:color="auto" w:sz="0" w:space="0"/>
                <w:insideV w:val="none" w:color="auto" w:sz="0" w:space="0"/>
              </w:tblBorders>
              <w:tblLayout w:type="fixed"/>
              <w:tblCellMar>
                <w:top w:w="0" w:type="dxa"/>
                <w:left w:w="108" w:type="dxa"/>
                <w:bottom w:w="0" w:type="dxa"/>
                <w:right w:w="108" w:type="dxa"/>
              </w:tblCellMar>
            </w:tblPr>
            <w:tblGrid>
              <w:gridCol w:w="427"/>
              <w:gridCol w:w="1475"/>
              <w:gridCol w:w="1404"/>
              <w:gridCol w:w="94"/>
              <w:gridCol w:w="655"/>
              <w:gridCol w:w="439"/>
              <w:gridCol w:w="1093"/>
              <w:gridCol w:w="617"/>
              <w:gridCol w:w="762"/>
              <w:gridCol w:w="1381"/>
            </w:tblGrid>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restart"/>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标识</w:t>
                  </w:r>
                </w:p>
              </w:tc>
              <w:tc>
                <w:tcPr>
                  <w:tcW w:w="6318" w:type="dxa"/>
                  <w:gridSpan w:val="7"/>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eastAsia="zh-CN"/>
                    </w:rPr>
                  </w:pPr>
                  <w:r>
                    <w:rPr>
                      <w:rFonts w:hint="default"/>
                      <w:color w:val="auto"/>
                      <w:highlight w:val="none"/>
                    </w:rPr>
                    <w:t>中文名：</w:t>
                  </w:r>
                  <w:r>
                    <w:rPr>
                      <w:rFonts w:hint="eastAsia"/>
                      <w:color w:val="auto"/>
                      <w:highlight w:val="none"/>
                      <w:lang w:val="en-US" w:eastAsia="zh-CN"/>
                    </w:rPr>
                    <w:t>导轨油</w:t>
                  </w:r>
                </w:p>
              </w:tc>
              <w:tc>
                <w:tcPr>
                  <w:tcW w:w="2351" w:type="dxa"/>
                  <w:gridSpan w:val="2"/>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危险货物编号</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continue"/>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p>
              </w:tc>
              <w:tc>
                <w:tcPr>
                  <w:tcW w:w="6318" w:type="dxa"/>
                  <w:gridSpan w:val="7"/>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rPr>
                    <w:t>英文名：</w:t>
                  </w:r>
                  <w:r>
                    <w:rPr>
                      <w:rFonts w:hint="default"/>
                      <w:color w:val="auto"/>
                      <w:highlight w:val="none"/>
                      <w:lang w:val="en-US" w:eastAsia="zh-CN"/>
                    </w:rPr>
                    <w:t>lubricating</w:t>
                  </w:r>
                </w:p>
              </w:tc>
              <w:tc>
                <w:tcPr>
                  <w:tcW w:w="2351" w:type="dxa"/>
                  <w:gridSpan w:val="2"/>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UN编号</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continue"/>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p>
              </w:tc>
              <w:tc>
                <w:tcPr>
                  <w:tcW w:w="3159" w:type="dxa"/>
                  <w:gridSpan w:val="2"/>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rPr>
                    <w:t>分子式：</w:t>
                  </w:r>
                  <w:r>
                    <w:rPr>
                      <w:rFonts w:hint="default"/>
                      <w:color w:val="auto"/>
                      <w:highlight w:val="none"/>
                      <w:lang w:val="en-US" w:eastAsia="zh-CN"/>
                    </w:rPr>
                    <w:t xml:space="preserve">      /</w:t>
                  </w:r>
                </w:p>
              </w:tc>
              <w:tc>
                <w:tcPr>
                  <w:tcW w:w="3159" w:type="dxa"/>
                  <w:gridSpan w:val="5"/>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rPr>
                    <w:t>分子量：</w:t>
                  </w:r>
                  <w:r>
                    <w:rPr>
                      <w:rFonts w:hint="default"/>
                      <w:color w:val="auto"/>
                      <w:highlight w:val="none"/>
                      <w:lang w:val="en-US" w:eastAsia="zh-CN"/>
                    </w:rPr>
                    <w:t xml:space="preserve">     /</w:t>
                  </w:r>
                </w:p>
              </w:tc>
              <w:tc>
                <w:tcPr>
                  <w:tcW w:w="2351" w:type="dxa"/>
                  <w:gridSpan w:val="2"/>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CAS</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restart"/>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理化性质</w:t>
                  </w: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外观与性状</w:t>
                  </w:r>
                </w:p>
              </w:tc>
              <w:tc>
                <w:tcPr>
                  <w:tcW w:w="7051" w:type="dxa"/>
                  <w:gridSpan w:val="8"/>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淡黄色黏稠液体</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continue"/>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熔点（℃）</w:t>
                  </w:r>
                </w:p>
              </w:tc>
              <w:tc>
                <w:tcPr>
                  <w:tcW w:w="2350" w:type="dxa"/>
                  <w:gridSpan w:val="3"/>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w:t>
                  </w:r>
                </w:p>
              </w:tc>
              <w:tc>
                <w:tcPr>
                  <w:tcW w:w="2350" w:type="dxa"/>
                  <w:gridSpan w:val="3"/>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相对密度(水=1)</w:t>
                  </w:r>
                </w:p>
              </w:tc>
              <w:tc>
                <w:tcPr>
                  <w:tcW w:w="2351" w:type="dxa"/>
                  <w:gridSpan w:val="2"/>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934.8</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continue"/>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沸点（℃）</w:t>
                  </w:r>
                </w:p>
              </w:tc>
              <w:tc>
                <w:tcPr>
                  <w:tcW w:w="2350" w:type="dxa"/>
                  <w:gridSpan w:val="3"/>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-252.8</w:t>
                  </w:r>
                </w:p>
              </w:tc>
              <w:tc>
                <w:tcPr>
                  <w:tcW w:w="2350" w:type="dxa"/>
                  <w:gridSpan w:val="3"/>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饱和蒸气压（kPa）</w:t>
                  </w:r>
                </w:p>
              </w:tc>
              <w:tc>
                <w:tcPr>
                  <w:tcW w:w="2351" w:type="dxa"/>
                  <w:gridSpan w:val="2"/>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0.13/145.8°C</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continue"/>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溶解性</w:t>
                  </w:r>
                </w:p>
              </w:tc>
              <w:tc>
                <w:tcPr>
                  <w:tcW w:w="7051" w:type="dxa"/>
                  <w:gridSpan w:val="8"/>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溶于苯、乙醇、乙醚、氯仿、丙酮等多数有机溶剂</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restart"/>
                  <w:tcBorders>
                    <w:top w:val="single" w:color="auto" w:sz="4"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毒性及健康危害</w:t>
                  </w: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侵入途径</w:t>
                  </w:r>
                </w:p>
              </w:tc>
              <w:tc>
                <w:tcPr>
                  <w:tcW w:w="7051" w:type="dxa"/>
                  <w:gridSpan w:val="8"/>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吸入、食入、</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continue"/>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毒性</w:t>
                  </w:r>
                </w:p>
              </w:tc>
              <w:tc>
                <w:tcPr>
                  <w:tcW w:w="7051" w:type="dxa"/>
                  <w:gridSpan w:val="8"/>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continue"/>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健康危害</w:t>
                  </w:r>
                </w:p>
              </w:tc>
              <w:tc>
                <w:tcPr>
                  <w:tcW w:w="7051" w:type="dxa"/>
                  <w:gridSpan w:val="8"/>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急性吸入，可出现乏力，头晕、头痛、恶心，严重者可引起油脂性肺炎。慢接触者，暴露部位可发生</w:t>
                  </w:r>
                  <w:r>
                    <w:rPr>
                      <w:rFonts w:hint="eastAsia"/>
                      <w:color w:val="auto"/>
                      <w:highlight w:val="none"/>
                      <w:lang w:val="en-US" w:eastAsia="zh-CN"/>
                    </w:rPr>
                    <w:t>油性</w:t>
                  </w:r>
                  <w:r>
                    <w:rPr>
                      <w:rFonts w:hint="default"/>
                      <w:color w:val="auto"/>
                      <w:highlight w:val="none"/>
                      <w:lang w:val="en-US" w:eastAsia="zh-CN"/>
                    </w:rPr>
                    <w:t>痤疮和接触性皮炎。可引发神经衰弱综合征，呼吸道和眼刺激症状及慢性油脂性肺炎。</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restart"/>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燃烧爆炸危险性</w:t>
                  </w: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燃烧性</w:t>
                  </w:r>
                </w:p>
              </w:tc>
              <w:tc>
                <w:tcPr>
                  <w:tcW w:w="1643" w:type="dxa"/>
                  <w:gridSpan w:val="2"/>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易燃</w:t>
                  </w:r>
                </w:p>
              </w:tc>
              <w:tc>
                <w:tcPr>
                  <w:tcW w:w="2384" w:type="dxa"/>
                  <w:gridSpan w:val="3"/>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燃烧分解物</w:t>
                  </w:r>
                </w:p>
              </w:tc>
              <w:tc>
                <w:tcPr>
                  <w:tcW w:w="3024" w:type="dxa"/>
                  <w:gridSpan w:val="3"/>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一氧化碳、二氧化碳。</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continue"/>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闪点(℃)</w:t>
                  </w:r>
                </w:p>
              </w:tc>
              <w:tc>
                <w:tcPr>
                  <w:tcW w:w="1643" w:type="dxa"/>
                  <w:gridSpan w:val="2"/>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120-340</w:t>
                  </w:r>
                </w:p>
              </w:tc>
              <w:tc>
                <w:tcPr>
                  <w:tcW w:w="2384" w:type="dxa"/>
                  <w:gridSpan w:val="3"/>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爆炸上限%（v%）：</w:t>
                  </w:r>
                </w:p>
              </w:tc>
              <w:tc>
                <w:tcPr>
                  <w:tcW w:w="3024" w:type="dxa"/>
                  <w:gridSpan w:val="3"/>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continue"/>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引燃温度(℃)</w:t>
                  </w:r>
                </w:p>
              </w:tc>
              <w:tc>
                <w:tcPr>
                  <w:tcW w:w="1643" w:type="dxa"/>
                  <w:gridSpan w:val="2"/>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300-350</w:t>
                  </w:r>
                </w:p>
              </w:tc>
              <w:tc>
                <w:tcPr>
                  <w:tcW w:w="2384" w:type="dxa"/>
                  <w:gridSpan w:val="3"/>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爆炸下限%（v%）：</w:t>
                  </w:r>
                </w:p>
              </w:tc>
              <w:tc>
                <w:tcPr>
                  <w:tcW w:w="3024" w:type="dxa"/>
                  <w:gridSpan w:val="3"/>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continue"/>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危险特性</w:t>
                  </w:r>
                </w:p>
              </w:tc>
              <w:tc>
                <w:tcPr>
                  <w:tcW w:w="7051" w:type="dxa"/>
                  <w:gridSpan w:val="8"/>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可燃液体，火灾危险性为丙B类；遇明火、高热可燃</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continue"/>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建规火险分级</w:t>
                  </w:r>
                </w:p>
              </w:tc>
              <w:tc>
                <w:tcPr>
                  <w:tcW w:w="1643" w:type="dxa"/>
                  <w:gridSpan w:val="2"/>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eastAsia="zh-CN"/>
                    </w:rPr>
                  </w:pPr>
                  <w:r>
                    <w:rPr>
                      <w:rFonts w:hint="default"/>
                      <w:color w:val="auto"/>
                      <w:highlight w:val="none"/>
                      <w:lang w:val="en-US" w:eastAsia="zh-CN"/>
                    </w:rPr>
                    <w:t>/</w:t>
                  </w:r>
                </w:p>
              </w:tc>
              <w:tc>
                <w:tcPr>
                  <w:tcW w:w="1192" w:type="dxa"/>
                  <w:gridSpan w:val="2"/>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稳定性</w:t>
                  </w:r>
                </w:p>
              </w:tc>
              <w:tc>
                <w:tcPr>
                  <w:tcW w:w="1192"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稳定</w:t>
                  </w:r>
                </w:p>
              </w:tc>
              <w:tc>
                <w:tcPr>
                  <w:tcW w:w="1512" w:type="dxa"/>
                  <w:gridSpan w:val="2"/>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聚合危害</w:t>
                  </w:r>
                </w:p>
              </w:tc>
              <w:tc>
                <w:tcPr>
                  <w:tcW w:w="1512"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不聚合</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continue"/>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禁忌物</w:t>
                  </w:r>
                </w:p>
              </w:tc>
              <w:tc>
                <w:tcPr>
                  <w:tcW w:w="7051" w:type="dxa"/>
                  <w:gridSpan w:val="8"/>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硝酸等强氧化剂</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vMerge w:val="continue"/>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p>
              </w:tc>
              <w:tc>
                <w:tcPr>
                  <w:tcW w:w="1618"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灭火方法</w:t>
                  </w:r>
                </w:p>
              </w:tc>
              <w:tc>
                <w:tcPr>
                  <w:tcW w:w="7051" w:type="dxa"/>
                  <w:gridSpan w:val="8"/>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消防人员须佩戴防毒面具、穿全身消防服，在上风向灭火。尽可能将容器从火场移至空旷处。喷水保持火场容器冷却，直至灭火结束。处在火场中的容器已变色从安全泄压装置中产生声音，必须立即撤离。灭火剂：雾状水、泡沫、干粉、二氧化碳、砂土。</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急救措施</w:t>
                  </w:r>
                </w:p>
              </w:tc>
              <w:tc>
                <w:tcPr>
                  <w:tcW w:w="8669" w:type="dxa"/>
                  <w:gridSpan w:val="9"/>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val="en-US" w:eastAsia="zh-CN"/>
                    </w:rPr>
                  </w:pPr>
                  <w:r>
                    <w:rPr>
                      <w:rFonts w:hint="default"/>
                      <w:color w:val="auto"/>
                      <w:highlight w:val="none"/>
                      <w:lang w:val="en-US" w:eastAsia="zh-CN"/>
                    </w:rPr>
                    <w:t>皮肤接触：脱去污染的衣着，用大量流动清水清洗。就医。</w:t>
                  </w:r>
                </w:p>
                <w:p>
                  <w:pPr>
                    <w:pStyle w:val="63"/>
                    <w:rPr>
                      <w:rFonts w:hint="default"/>
                      <w:color w:val="auto"/>
                      <w:highlight w:val="none"/>
                      <w:lang w:val="en-US" w:eastAsia="zh-CN"/>
                    </w:rPr>
                  </w:pPr>
                  <w:r>
                    <w:rPr>
                      <w:rFonts w:hint="eastAsia"/>
                      <w:color w:val="auto"/>
                      <w:highlight w:val="none"/>
                      <w:lang w:val="en-US" w:eastAsia="zh-CN"/>
                    </w:rPr>
                    <w:t>眼睛</w:t>
                  </w:r>
                  <w:r>
                    <w:rPr>
                      <w:rFonts w:hint="default"/>
                      <w:color w:val="auto"/>
                      <w:highlight w:val="none"/>
                      <w:lang w:val="en-US" w:eastAsia="zh-CN"/>
                    </w:rPr>
                    <w:t>接触：用流动清水或生理盐水冲洗。就医。</w:t>
                  </w:r>
                </w:p>
                <w:p>
                  <w:pPr>
                    <w:pStyle w:val="63"/>
                    <w:rPr>
                      <w:rFonts w:hint="default"/>
                      <w:color w:val="auto"/>
                      <w:highlight w:val="none"/>
                      <w:lang w:val="en-US" w:eastAsia="zh-CN"/>
                    </w:rPr>
                  </w:pPr>
                  <w:r>
                    <w:rPr>
                      <w:rFonts w:hint="default"/>
                      <w:color w:val="auto"/>
                      <w:highlight w:val="none"/>
                      <w:lang w:val="en-US" w:eastAsia="zh-CN"/>
                    </w:rPr>
                    <w:t>吸入：迅速脱离现场至空气新鲜处，保持呼吸畅通。如呼吸困难，给输氧。如呼吸停止，立即进行人工呼吸。就医。</w:t>
                  </w:r>
                </w:p>
                <w:p>
                  <w:pPr>
                    <w:pStyle w:val="63"/>
                    <w:rPr>
                      <w:rFonts w:hint="default"/>
                      <w:color w:val="auto"/>
                      <w:highlight w:val="none"/>
                      <w:lang w:val="en-US" w:eastAsia="zh-CN"/>
                    </w:rPr>
                  </w:pPr>
                  <w:r>
                    <w:rPr>
                      <w:rFonts w:hint="default"/>
                      <w:color w:val="auto"/>
                      <w:highlight w:val="none"/>
                      <w:lang w:val="en-US" w:eastAsia="zh-CN"/>
                    </w:rPr>
                    <w:t>食用：饮适量温水，催吐。就医。</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 xml:space="preserve">泄漏处置  </w:t>
                  </w:r>
                </w:p>
              </w:tc>
              <w:tc>
                <w:tcPr>
                  <w:tcW w:w="8669" w:type="dxa"/>
                  <w:gridSpan w:val="9"/>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迅速撤离泄漏污染区人员至安全区，并进行隔离，严格限制出入。切断火源。建议应急处理人员戴</w:t>
                  </w:r>
                  <w:r>
                    <w:rPr>
                      <w:rFonts w:hint="eastAsia"/>
                      <w:color w:val="auto"/>
                      <w:highlight w:val="none"/>
                      <w:lang w:val="en-US" w:eastAsia="zh-CN"/>
                    </w:rPr>
                    <w:t>自吸</w:t>
                  </w:r>
                  <w:r>
                    <w:rPr>
                      <w:rFonts w:hint="default"/>
                      <w:color w:val="auto"/>
                      <w:highlight w:val="none"/>
                    </w:rPr>
                    <w:t>正压式呼吸器，穿防毒服。尽可能切断泄漏源。防止润滑油进入下水道、排洪沟等限制性空间。</w:t>
                  </w:r>
                </w:p>
              </w:tc>
            </w:tr>
            <w:tr>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cantSplit/>
                <w:trHeight w:val="340" w:hRule="atLeast"/>
                <w:jc w:val="center"/>
              </w:trPr>
              <w:tc>
                <w:tcPr>
                  <w:tcW w:w="447" w:type="dxa"/>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rPr>
                  </w:pPr>
                  <w:r>
                    <w:rPr>
                      <w:rFonts w:hint="default"/>
                      <w:color w:val="auto"/>
                      <w:highlight w:val="none"/>
                    </w:rPr>
                    <w:t>储运注意事项</w:t>
                  </w:r>
                </w:p>
              </w:tc>
              <w:tc>
                <w:tcPr>
                  <w:tcW w:w="8669" w:type="dxa"/>
                  <w:gridSpan w:val="9"/>
                  <w:tcBorders>
                    <w:top w:val="single" w:color="auto" w:sz="6" w:space="0"/>
                    <w:left w:val="single" w:color="auto" w:sz="6" w:space="0"/>
                    <w:bottom w:val="single" w:color="auto" w:sz="6" w:space="0"/>
                    <w:right w:val="single" w:color="auto" w:sz="6" w:space="0"/>
                  </w:tcBorders>
                  <w:vAlign w:val="center"/>
                </w:tcPr>
                <w:p>
                  <w:pPr>
                    <w:pStyle w:val="63"/>
                    <w:rPr>
                      <w:rFonts w:hint="default"/>
                      <w:color w:val="auto"/>
                      <w:highlight w:val="none"/>
                      <w:lang w:eastAsia="zh-CN"/>
                    </w:rPr>
                  </w:pPr>
                  <w:r>
                    <w:rPr>
                      <w:rFonts w:hint="default"/>
                      <w:color w:val="auto"/>
                      <w:highlight w:val="none"/>
                    </w:rPr>
                    <w:t>①储存注意事项：储存于阴凉、通风仓间内，远离火源、热源。保持容器密封。应与氧化剂、酸碱类、化工产品分开存放。搬运时要轻装轻卸，防止包装物及容器损坏。分装和搬运作业要注意个人防护</w:t>
                  </w:r>
                  <w:r>
                    <w:rPr>
                      <w:rFonts w:hint="default"/>
                      <w:color w:val="auto"/>
                      <w:highlight w:val="none"/>
                      <w:lang w:eastAsia="zh-CN"/>
                    </w:rPr>
                    <w:t>。</w:t>
                  </w:r>
                </w:p>
                <w:p>
                  <w:pPr>
                    <w:pStyle w:val="63"/>
                    <w:rPr>
                      <w:rFonts w:hint="default"/>
                      <w:color w:val="auto"/>
                      <w:highlight w:val="none"/>
                    </w:rPr>
                  </w:pPr>
                  <w:r>
                    <w:rPr>
                      <w:rFonts w:hint="default"/>
                      <w:color w:val="auto"/>
                      <w:highlight w:val="none"/>
                    </w:rPr>
                    <w:t>②运输注意事项：本品铁路运输</w:t>
                  </w:r>
                  <w:r>
                    <w:rPr>
                      <w:rFonts w:hint="eastAsia"/>
                      <w:color w:val="auto"/>
                      <w:highlight w:val="none"/>
                      <w:lang w:val="en-US" w:eastAsia="zh-CN"/>
                    </w:rPr>
                    <w:t>时</w:t>
                  </w:r>
                  <w:r>
                    <w:rPr>
                      <w:rFonts w:hint="default"/>
                      <w:color w:val="auto"/>
                      <w:highlight w:val="none"/>
                    </w:rPr>
                    <w:t>使用钢制企业自备罐车装运，装运前需报有关部门批准。铁路运输时应严格按照铁道部《危险货物运输规则》中的危险货物配装表进行配装。运输时运输车辆应配备相应品种和数量的消防器材及泄漏应急处理设备。夏季最好早晚运输。运输时所用的槽（罐）车应有接地链，槽内可设孔隔板以减少震荡产生静电。严禁与氧化剂、食用化学品等混装混运。运输途中应防曝晒、雨淋，防高温。中途停留时应远离火种、热源、高温区。装运该物品的车辆排气管必须配备阻火装置，禁止使用易产生火花的机械设备和工具装卸。公路运输时要按规定路线行驶，勿在居民区和人口稠密区停留。铁路运输时要禁止溜放。严禁用木船、水泥船散装运输。</w:t>
                  </w:r>
                </w:p>
              </w:tc>
            </w:tr>
          </w:tbl>
          <w:p>
            <w:pPr>
              <w:spacing w:line="240" w:lineRule="auto"/>
              <w:ind w:left="480" w:leftChars="200" w:firstLine="2168" w:firstLineChars="900"/>
              <w:jc w:val="both"/>
              <w:rPr>
                <w:rFonts w:hint="default"/>
                <w:b/>
                <w:bCs/>
                <w:color w:val="auto"/>
                <w:highlight w:val="none"/>
              </w:rPr>
            </w:pPr>
          </w:p>
          <w:p>
            <w:pPr>
              <w:spacing w:line="240" w:lineRule="auto"/>
              <w:ind w:left="480" w:leftChars="200" w:firstLine="2168" w:firstLineChars="900"/>
              <w:jc w:val="both"/>
              <w:rPr>
                <w:rFonts w:hint="default"/>
                <w:b/>
                <w:bCs/>
                <w:color w:val="auto"/>
                <w:highlight w:val="none"/>
              </w:rPr>
            </w:pPr>
            <w:r>
              <w:rPr>
                <w:rFonts w:hint="default"/>
                <w:b/>
                <w:bCs/>
                <w:color w:val="auto"/>
                <w:highlight w:val="none"/>
              </w:rPr>
              <w:t>表</w:t>
            </w:r>
            <w:r>
              <w:rPr>
                <w:rFonts w:hint="eastAsia"/>
                <w:b/>
                <w:bCs/>
                <w:color w:val="auto"/>
                <w:highlight w:val="none"/>
                <w:lang w:val="en-US" w:eastAsia="zh-CN"/>
              </w:rPr>
              <w:t>4-14 切削液</w:t>
            </w:r>
            <w:r>
              <w:rPr>
                <w:rFonts w:hint="default"/>
                <w:b/>
                <w:bCs/>
                <w:color w:val="auto"/>
                <w:highlight w:val="none"/>
              </w:rPr>
              <w:t>理化性质一览表</w:t>
            </w:r>
          </w:p>
          <w:tbl>
            <w:tblPr>
              <w:tblStyle w:val="31"/>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9"/>
              <w:gridCol w:w="1056"/>
              <w:gridCol w:w="870"/>
              <w:gridCol w:w="6"/>
              <w:gridCol w:w="876"/>
              <w:gridCol w:w="1057"/>
              <w:gridCol w:w="917"/>
              <w:gridCol w:w="975"/>
              <w:gridCol w:w="337"/>
              <w:gridCol w:w="495"/>
              <w:gridCol w:w="8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restart"/>
                  <w:noWrap/>
                  <w:vAlign w:val="center"/>
                </w:tcPr>
                <w:p>
                  <w:pPr>
                    <w:pStyle w:val="63"/>
                    <w:rPr>
                      <w:rFonts w:hint="default"/>
                      <w:color w:val="auto"/>
                      <w:highlight w:val="none"/>
                    </w:rPr>
                  </w:pPr>
                  <w:r>
                    <w:rPr>
                      <w:rFonts w:hint="default"/>
                      <w:color w:val="auto"/>
                      <w:highlight w:val="none"/>
                    </w:rPr>
                    <w:t>标识</w:t>
                  </w:r>
                </w:p>
              </w:tc>
              <w:tc>
                <w:tcPr>
                  <w:tcW w:w="1080" w:type="dxa"/>
                  <w:noWrap/>
                  <w:vAlign w:val="center"/>
                </w:tcPr>
                <w:p>
                  <w:pPr>
                    <w:pStyle w:val="63"/>
                    <w:rPr>
                      <w:rFonts w:hint="default"/>
                      <w:color w:val="auto"/>
                      <w:highlight w:val="none"/>
                    </w:rPr>
                  </w:pPr>
                  <w:r>
                    <w:rPr>
                      <w:rFonts w:hint="default"/>
                      <w:color w:val="auto"/>
                      <w:highlight w:val="none"/>
                    </w:rPr>
                    <w:t>中文名</w:t>
                  </w:r>
                </w:p>
              </w:tc>
              <w:tc>
                <w:tcPr>
                  <w:tcW w:w="888" w:type="dxa"/>
                  <w:noWrap/>
                  <w:vAlign w:val="center"/>
                </w:tcPr>
                <w:p>
                  <w:pPr>
                    <w:pStyle w:val="63"/>
                    <w:rPr>
                      <w:rFonts w:hint="eastAsia"/>
                      <w:color w:val="auto"/>
                      <w:highlight w:val="none"/>
                      <w:lang w:eastAsia="zh-CN"/>
                    </w:rPr>
                  </w:pPr>
                  <w:r>
                    <w:rPr>
                      <w:rFonts w:hint="eastAsia"/>
                      <w:color w:val="auto"/>
                      <w:highlight w:val="none"/>
                      <w:lang w:val="en-US" w:eastAsia="zh-CN"/>
                    </w:rPr>
                    <w:t>切削液</w:t>
                  </w:r>
                </w:p>
              </w:tc>
              <w:tc>
                <w:tcPr>
                  <w:tcW w:w="900" w:type="dxa"/>
                  <w:gridSpan w:val="2"/>
                  <w:noWrap/>
                  <w:vAlign w:val="center"/>
                </w:tcPr>
                <w:p>
                  <w:pPr>
                    <w:pStyle w:val="63"/>
                    <w:rPr>
                      <w:rFonts w:hint="default"/>
                      <w:color w:val="auto"/>
                      <w:highlight w:val="none"/>
                    </w:rPr>
                  </w:pPr>
                  <w:r>
                    <w:rPr>
                      <w:rFonts w:hint="default"/>
                      <w:color w:val="auto"/>
                      <w:highlight w:val="none"/>
                    </w:rPr>
                    <w:t>英文名</w:t>
                  </w:r>
                </w:p>
              </w:tc>
              <w:tc>
                <w:tcPr>
                  <w:tcW w:w="2016" w:type="dxa"/>
                  <w:gridSpan w:val="2"/>
                  <w:noWrap/>
                  <w:vAlign w:val="center"/>
                </w:tcPr>
                <w:p>
                  <w:pPr>
                    <w:pStyle w:val="63"/>
                    <w:rPr>
                      <w:rFonts w:hint="default"/>
                      <w:color w:val="auto"/>
                      <w:highlight w:val="none"/>
                    </w:rPr>
                  </w:pPr>
                  <w:r>
                    <w:rPr>
                      <w:rFonts w:hint="default"/>
                      <w:color w:val="auto"/>
                      <w:highlight w:val="none"/>
                    </w:rPr>
                    <w:t>/</w:t>
                  </w:r>
                </w:p>
              </w:tc>
              <w:tc>
                <w:tcPr>
                  <w:tcW w:w="996" w:type="dxa"/>
                  <w:noWrap/>
                  <w:vAlign w:val="center"/>
                </w:tcPr>
                <w:p>
                  <w:pPr>
                    <w:pStyle w:val="63"/>
                    <w:rPr>
                      <w:rFonts w:hint="default"/>
                      <w:color w:val="auto"/>
                      <w:highlight w:val="none"/>
                    </w:rPr>
                  </w:pPr>
                  <w:r>
                    <w:rPr>
                      <w:rFonts w:hint="default"/>
                      <w:color w:val="auto"/>
                      <w:highlight w:val="none"/>
                    </w:rPr>
                    <w:t>危险货物编号</w:t>
                  </w:r>
                </w:p>
              </w:tc>
              <w:tc>
                <w:tcPr>
                  <w:tcW w:w="1680" w:type="dxa"/>
                  <w:gridSpan w:val="3"/>
                  <w:noWrap/>
                  <w:vAlign w:val="center"/>
                </w:tcPr>
                <w:p>
                  <w:pPr>
                    <w:pStyle w:val="63"/>
                    <w:rPr>
                      <w:rFonts w:hint="default"/>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080" w:type="dxa"/>
                  <w:noWrap/>
                  <w:vAlign w:val="center"/>
                </w:tcPr>
                <w:p>
                  <w:pPr>
                    <w:pStyle w:val="63"/>
                    <w:rPr>
                      <w:rFonts w:hint="default"/>
                      <w:color w:val="auto"/>
                      <w:highlight w:val="none"/>
                    </w:rPr>
                  </w:pPr>
                  <w:r>
                    <w:rPr>
                      <w:rFonts w:hint="default"/>
                      <w:color w:val="auto"/>
                      <w:highlight w:val="none"/>
                    </w:rPr>
                    <w:t>分子式</w:t>
                  </w:r>
                </w:p>
              </w:tc>
              <w:tc>
                <w:tcPr>
                  <w:tcW w:w="888" w:type="dxa"/>
                  <w:noWrap/>
                  <w:vAlign w:val="center"/>
                </w:tcPr>
                <w:p>
                  <w:pPr>
                    <w:pStyle w:val="63"/>
                    <w:rPr>
                      <w:rFonts w:hint="default"/>
                      <w:color w:val="auto"/>
                      <w:highlight w:val="none"/>
                    </w:rPr>
                  </w:pPr>
                  <w:r>
                    <w:rPr>
                      <w:rFonts w:hint="default"/>
                      <w:color w:val="auto"/>
                      <w:highlight w:val="none"/>
                    </w:rPr>
                    <w:t>/</w:t>
                  </w:r>
                </w:p>
              </w:tc>
              <w:tc>
                <w:tcPr>
                  <w:tcW w:w="900" w:type="dxa"/>
                  <w:gridSpan w:val="2"/>
                  <w:noWrap/>
                  <w:vAlign w:val="center"/>
                </w:tcPr>
                <w:p>
                  <w:pPr>
                    <w:pStyle w:val="63"/>
                    <w:rPr>
                      <w:rFonts w:hint="default"/>
                      <w:color w:val="auto"/>
                      <w:highlight w:val="none"/>
                    </w:rPr>
                  </w:pPr>
                  <w:r>
                    <w:rPr>
                      <w:rFonts w:hint="default"/>
                      <w:color w:val="auto"/>
                      <w:highlight w:val="none"/>
                    </w:rPr>
                    <w:t>分子量</w:t>
                  </w:r>
                </w:p>
              </w:tc>
              <w:tc>
                <w:tcPr>
                  <w:tcW w:w="1080" w:type="dxa"/>
                  <w:noWrap/>
                  <w:vAlign w:val="center"/>
                </w:tcPr>
                <w:p>
                  <w:pPr>
                    <w:pStyle w:val="63"/>
                    <w:rPr>
                      <w:rFonts w:hint="default"/>
                      <w:color w:val="auto"/>
                      <w:highlight w:val="none"/>
                    </w:rPr>
                  </w:pPr>
                  <w:r>
                    <w:rPr>
                      <w:rFonts w:hint="default"/>
                      <w:color w:val="auto"/>
                      <w:highlight w:val="none"/>
                    </w:rPr>
                    <w:t>/</w:t>
                  </w:r>
                </w:p>
              </w:tc>
              <w:tc>
                <w:tcPr>
                  <w:tcW w:w="936" w:type="dxa"/>
                  <w:noWrap/>
                  <w:vAlign w:val="center"/>
                </w:tcPr>
                <w:p>
                  <w:pPr>
                    <w:pStyle w:val="63"/>
                    <w:rPr>
                      <w:rFonts w:hint="default"/>
                      <w:color w:val="auto"/>
                      <w:highlight w:val="none"/>
                    </w:rPr>
                  </w:pPr>
                  <w:r>
                    <w:rPr>
                      <w:rFonts w:hint="default"/>
                      <w:color w:val="auto"/>
                      <w:highlight w:val="none"/>
                    </w:rPr>
                    <w:t>UN编号</w:t>
                  </w:r>
                </w:p>
              </w:tc>
              <w:tc>
                <w:tcPr>
                  <w:tcW w:w="996" w:type="dxa"/>
                  <w:noWrap/>
                  <w:vAlign w:val="center"/>
                </w:tcPr>
                <w:p>
                  <w:pPr>
                    <w:pStyle w:val="63"/>
                    <w:rPr>
                      <w:rFonts w:hint="default"/>
                      <w:color w:val="auto"/>
                      <w:highlight w:val="none"/>
                    </w:rPr>
                  </w:pPr>
                </w:p>
              </w:tc>
              <w:tc>
                <w:tcPr>
                  <w:tcW w:w="849" w:type="dxa"/>
                  <w:gridSpan w:val="2"/>
                  <w:noWrap/>
                  <w:vAlign w:val="center"/>
                </w:tcPr>
                <w:p>
                  <w:pPr>
                    <w:pStyle w:val="63"/>
                    <w:rPr>
                      <w:rFonts w:hint="default"/>
                      <w:color w:val="auto"/>
                      <w:highlight w:val="none"/>
                    </w:rPr>
                  </w:pPr>
                  <w:r>
                    <w:rPr>
                      <w:rFonts w:hint="default"/>
                      <w:color w:val="auto"/>
                      <w:highlight w:val="none"/>
                    </w:rPr>
                    <w:t>CAS编号</w:t>
                  </w:r>
                </w:p>
              </w:tc>
              <w:tc>
                <w:tcPr>
                  <w:tcW w:w="831" w:type="dxa"/>
                  <w:noWrap/>
                  <w:vAlign w:val="center"/>
                </w:tcPr>
                <w:p>
                  <w:pPr>
                    <w:pStyle w:val="63"/>
                    <w:rPr>
                      <w:rFonts w:hint="default"/>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080" w:type="dxa"/>
                  <w:noWrap/>
                  <w:vAlign w:val="center"/>
                </w:tcPr>
                <w:p>
                  <w:pPr>
                    <w:pStyle w:val="63"/>
                    <w:rPr>
                      <w:rFonts w:hint="default"/>
                      <w:color w:val="auto"/>
                      <w:highlight w:val="none"/>
                    </w:rPr>
                  </w:pPr>
                  <w:r>
                    <w:rPr>
                      <w:rFonts w:hint="default"/>
                      <w:color w:val="auto"/>
                      <w:highlight w:val="none"/>
                    </w:rPr>
                    <w:t>危险类别</w:t>
                  </w:r>
                </w:p>
              </w:tc>
              <w:tc>
                <w:tcPr>
                  <w:tcW w:w="6480" w:type="dxa"/>
                  <w:gridSpan w:val="9"/>
                  <w:noWrap/>
                  <w:vAlign w:val="center"/>
                </w:tcPr>
                <w:p>
                  <w:pPr>
                    <w:pStyle w:val="63"/>
                    <w:rPr>
                      <w:rFonts w:hint="default"/>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restart"/>
                  <w:noWrap/>
                  <w:vAlign w:val="center"/>
                </w:tcPr>
                <w:p>
                  <w:pPr>
                    <w:pStyle w:val="63"/>
                    <w:rPr>
                      <w:rFonts w:hint="default"/>
                      <w:color w:val="auto"/>
                      <w:highlight w:val="none"/>
                    </w:rPr>
                  </w:pPr>
                  <w:r>
                    <w:rPr>
                      <w:rFonts w:hint="default"/>
                      <w:color w:val="auto"/>
                      <w:highlight w:val="none"/>
                    </w:rPr>
                    <w:t>理化</w:t>
                  </w:r>
                </w:p>
                <w:p>
                  <w:pPr>
                    <w:pStyle w:val="63"/>
                    <w:rPr>
                      <w:rFonts w:hint="default"/>
                      <w:color w:val="auto"/>
                      <w:highlight w:val="none"/>
                    </w:rPr>
                  </w:pPr>
                  <w:r>
                    <w:rPr>
                      <w:rFonts w:hint="default"/>
                      <w:color w:val="auto"/>
                      <w:highlight w:val="none"/>
                    </w:rPr>
                    <w:t>性质</w:t>
                  </w:r>
                </w:p>
              </w:tc>
              <w:tc>
                <w:tcPr>
                  <w:tcW w:w="1080" w:type="dxa"/>
                  <w:noWrap/>
                  <w:vAlign w:val="center"/>
                </w:tcPr>
                <w:p>
                  <w:pPr>
                    <w:pStyle w:val="63"/>
                    <w:rPr>
                      <w:rFonts w:hint="default"/>
                      <w:color w:val="auto"/>
                      <w:highlight w:val="none"/>
                    </w:rPr>
                  </w:pPr>
                  <w:r>
                    <w:rPr>
                      <w:rFonts w:hint="default"/>
                      <w:color w:val="auto"/>
                      <w:highlight w:val="none"/>
                    </w:rPr>
                    <w:t>性状</w:t>
                  </w:r>
                </w:p>
              </w:tc>
              <w:tc>
                <w:tcPr>
                  <w:tcW w:w="6480" w:type="dxa"/>
                  <w:gridSpan w:val="9"/>
                  <w:noWrap/>
                  <w:vAlign w:val="center"/>
                </w:tcPr>
                <w:p>
                  <w:pPr>
                    <w:pStyle w:val="63"/>
                    <w:rPr>
                      <w:rFonts w:hint="default"/>
                      <w:color w:val="auto"/>
                      <w:highlight w:val="none"/>
                    </w:rPr>
                  </w:pPr>
                  <w:r>
                    <w:rPr>
                      <w:rFonts w:hint="default"/>
                      <w:color w:val="auto"/>
                      <w:highlight w:val="none"/>
                    </w:rPr>
                    <w:t>琥珀色室温下液体。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974" w:type="dxa"/>
                  <w:gridSpan w:val="3"/>
                  <w:noWrap/>
                  <w:vAlign w:val="center"/>
                </w:tcPr>
                <w:p>
                  <w:pPr>
                    <w:pStyle w:val="63"/>
                    <w:rPr>
                      <w:rFonts w:hint="default"/>
                      <w:color w:val="auto"/>
                      <w:highlight w:val="none"/>
                    </w:rPr>
                  </w:pPr>
                  <w:r>
                    <w:rPr>
                      <w:rFonts w:hint="default"/>
                      <w:color w:val="auto"/>
                      <w:highlight w:val="none"/>
                    </w:rPr>
                    <w:t>熔点（℃）</w:t>
                  </w:r>
                </w:p>
              </w:tc>
              <w:tc>
                <w:tcPr>
                  <w:tcW w:w="1974" w:type="dxa"/>
                  <w:gridSpan w:val="2"/>
                  <w:noWrap/>
                  <w:vAlign w:val="center"/>
                </w:tcPr>
                <w:p>
                  <w:pPr>
                    <w:pStyle w:val="63"/>
                    <w:rPr>
                      <w:rFonts w:hint="default"/>
                      <w:color w:val="auto"/>
                      <w:highlight w:val="none"/>
                    </w:rPr>
                  </w:pPr>
                </w:p>
              </w:tc>
              <w:tc>
                <w:tcPr>
                  <w:tcW w:w="2781" w:type="dxa"/>
                  <w:gridSpan w:val="4"/>
                  <w:noWrap/>
                  <w:vAlign w:val="center"/>
                </w:tcPr>
                <w:p>
                  <w:pPr>
                    <w:pStyle w:val="63"/>
                    <w:rPr>
                      <w:rFonts w:hint="default"/>
                      <w:color w:val="auto"/>
                      <w:highlight w:val="none"/>
                    </w:rPr>
                  </w:pPr>
                  <w:r>
                    <w:rPr>
                      <w:rFonts w:hint="default"/>
                      <w:color w:val="auto"/>
                      <w:highlight w:val="none"/>
                    </w:rPr>
                    <w:t>临界压力（Mpa）</w:t>
                  </w:r>
                </w:p>
              </w:tc>
              <w:tc>
                <w:tcPr>
                  <w:tcW w:w="831" w:type="dxa"/>
                  <w:noWrap/>
                  <w:vAlign w:val="center"/>
                </w:tcPr>
                <w:p>
                  <w:pPr>
                    <w:pStyle w:val="63"/>
                    <w:rPr>
                      <w:rFonts w:hint="default"/>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974" w:type="dxa"/>
                  <w:gridSpan w:val="3"/>
                  <w:noWrap/>
                  <w:vAlign w:val="center"/>
                </w:tcPr>
                <w:p>
                  <w:pPr>
                    <w:pStyle w:val="63"/>
                    <w:rPr>
                      <w:rFonts w:hint="default"/>
                      <w:color w:val="auto"/>
                      <w:highlight w:val="none"/>
                    </w:rPr>
                  </w:pPr>
                  <w:r>
                    <w:rPr>
                      <w:rFonts w:hint="default"/>
                      <w:color w:val="auto"/>
                      <w:highlight w:val="none"/>
                    </w:rPr>
                    <w:t>沸点（℃）</w:t>
                  </w:r>
                </w:p>
              </w:tc>
              <w:tc>
                <w:tcPr>
                  <w:tcW w:w="1974" w:type="dxa"/>
                  <w:gridSpan w:val="2"/>
                  <w:noWrap/>
                  <w:vAlign w:val="center"/>
                </w:tcPr>
                <w:p>
                  <w:pPr>
                    <w:pStyle w:val="63"/>
                    <w:rPr>
                      <w:rFonts w:hint="default"/>
                      <w:color w:val="auto"/>
                      <w:highlight w:val="none"/>
                    </w:rPr>
                  </w:pPr>
                  <w:r>
                    <w:rPr>
                      <w:rFonts w:hint="default"/>
                      <w:color w:val="auto"/>
                      <w:highlight w:val="none"/>
                    </w:rPr>
                    <w:t>＞20</w:t>
                  </w:r>
                </w:p>
              </w:tc>
              <w:tc>
                <w:tcPr>
                  <w:tcW w:w="2781" w:type="dxa"/>
                  <w:gridSpan w:val="4"/>
                  <w:noWrap/>
                  <w:vAlign w:val="center"/>
                </w:tcPr>
                <w:p>
                  <w:pPr>
                    <w:pStyle w:val="63"/>
                    <w:rPr>
                      <w:rFonts w:hint="default"/>
                      <w:color w:val="auto"/>
                      <w:highlight w:val="none"/>
                    </w:rPr>
                  </w:pPr>
                  <w:r>
                    <w:rPr>
                      <w:rFonts w:hint="default"/>
                      <w:color w:val="auto"/>
                      <w:highlight w:val="none"/>
                    </w:rPr>
                    <w:t>相对密度（水＝1）</w:t>
                  </w:r>
                </w:p>
              </w:tc>
              <w:tc>
                <w:tcPr>
                  <w:tcW w:w="831" w:type="dxa"/>
                  <w:noWrap/>
                  <w:vAlign w:val="center"/>
                </w:tcPr>
                <w:p>
                  <w:pPr>
                    <w:pStyle w:val="63"/>
                    <w:rPr>
                      <w:rFonts w:hint="eastAsia"/>
                      <w:color w:val="auto"/>
                      <w:highlight w:val="none"/>
                      <w:lang w:eastAsia="zh-CN"/>
                    </w:rPr>
                  </w:pPr>
                  <w:r>
                    <w:rPr>
                      <w:rFonts w:hint="eastAsia"/>
                      <w:color w:val="auto"/>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974" w:type="dxa"/>
                  <w:gridSpan w:val="3"/>
                  <w:noWrap/>
                  <w:vAlign w:val="center"/>
                </w:tcPr>
                <w:p>
                  <w:pPr>
                    <w:pStyle w:val="63"/>
                    <w:rPr>
                      <w:rFonts w:hint="default"/>
                      <w:color w:val="auto"/>
                      <w:highlight w:val="none"/>
                    </w:rPr>
                  </w:pPr>
                  <w:r>
                    <w:rPr>
                      <w:rFonts w:hint="default"/>
                      <w:color w:val="auto"/>
                      <w:highlight w:val="none"/>
                    </w:rPr>
                    <w:t>饱和蒸汽压（kpa）</w:t>
                  </w:r>
                </w:p>
              </w:tc>
              <w:tc>
                <w:tcPr>
                  <w:tcW w:w="1974" w:type="dxa"/>
                  <w:gridSpan w:val="2"/>
                  <w:noWrap/>
                  <w:vAlign w:val="center"/>
                </w:tcPr>
                <w:p>
                  <w:pPr>
                    <w:pStyle w:val="63"/>
                    <w:rPr>
                      <w:rFonts w:hint="default"/>
                      <w:color w:val="auto"/>
                      <w:highlight w:val="none"/>
                    </w:rPr>
                  </w:pPr>
                </w:p>
              </w:tc>
              <w:tc>
                <w:tcPr>
                  <w:tcW w:w="2781" w:type="dxa"/>
                  <w:gridSpan w:val="4"/>
                  <w:noWrap/>
                  <w:vAlign w:val="center"/>
                </w:tcPr>
                <w:p>
                  <w:pPr>
                    <w:pStyle w:val="63"/>
                    <w:rPr>
                      <w:rFonts w:hint="default"/>
                      <w:color w:val="auto"/>
                      <w:highlight w:val="none"/>
                    </w:rPr>
                  </w:pPr>
                  <w:r>
                    <w:rPr>
                      <w:rFonts w:hint="default"/>
                      <w:color w:val="auto"/>
                      <w:highlight w:val="none"/>
                    </w:rPr>
                    <w:t>相对密度（空气＝1）</w:t>
                  </w:r>
                </w:p>
              </w:tc>
              <w:tc>
                <w:tcPr>
                  <w:tcW w:w="831" w:type="dxa"/>
                  <w:noWrap/>
                  <w:vAlign w:val="center"/>
                </w:tcPr>
                <w:p>
                  <w:pPr>
                    <w:pStyle w:val="63"/>
                    <w:rPr>
                      <w:rFonts w:hint="eastAsia"/>
                      <w:color w:val="auto"/>
                      <w:highlight w:val="none"/>
                      <w:lang w:eastAsia="zh-CN"/>
                    </w:rPr>
                  </w:pPr>
                  <w:r>
                    <w:rPr>
                      <w:rFonts w:hint="eastAsia"/>
                      <w:color w:val="auto"/>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974" w:type="dxa"/>
                  <w:gridSpan w:val="3"/>
                  <w:noWrap/>
                  <w:vAlign w:val="center"/>
                </w:tcPr>
                <w:p>
                  <w:pPr>
                    <w:pStyle w:val="63"/>
                    <w:rPr>
                      <w:rFonts w:hint="default"/>
                      <w:color w:val="auto"/>
                      <w:highlight w:val="none"/>
                    </w:rPr>
                  </w:pPr>
                  <w:r>
                    <w:rPr>
                      <w:rFonts w:hint="default"/>
                      <w:color w:val="auto"/>
                      <w:highlight w:val="none"/>
                    </w:rPr>
                    <w:t>临界温度（℃）</w:t>
                  </w:r>
                </w:p>
              </w:tc>
              <w:tc>
                <w:tcPr>
                  <w:tcW w:w="1974" w:type="dxa"/>
                  <w:gridSpan w:val="2"/>
                  <w:noWrap/>
                  <w:vAlign w:val="center"/>
                </w:tcPr>
                <w:p>
                  <w:pPr>
                    <w:pStyle w:val="63"/>
                    <w:rPr>
                      <w:rFonts w:hint="eastAsia"/>
                      <w:color w:val="auto"/>
                      <w:highlight w:val="none"/>
                      <w:lang w:val="en-US" w:eastAsia="zh-CN"/>
                    </w:rPr>
                  </w:pPr>
                  <w:r>
                    <w:rPr>
                      <w:rFonts w:hint="eastAsia"/>
                      <w:color w:val="auto"/>
                      <w:highlight w:val="none"/>
                      <w:lang w:val="en-US" w:eastAsia="zh-CN"/>
                    </w:rPr>
                    <w:t>/</w:t>
                  </w:r>
                </w:p>
              </w:tc>
              <w:tc>
                <w:tcPr>
                  <w:tcW w:w="2781" w:type="dxa"/>
                  <w:gridSpan w:val="4"/>
                  <w:noWrap/>
                  <w:vAlign w:val="center"/>
                </w:tcPr>
                <w:p>
                  <w:pPr>
                    <w:pStyle w:val="63"/>
                    <w:rPr>
                      <w:rFonts w:hint="default"/>
                      <w:color w:val="auto"/>
                      <w:highlight w:val="none"/>
                    </w:rPr>
                  </w:pPr>
                  <w:r>
                    <w:rPr>
                      <w:rFonts w:hint="default"/>
                      <w:color w:val="auto"/>
                      <w:highlight w:val="none"/>
                    </w:rPr>
                    <w:t>燃烧热（KJ·mol-1）</w:t>
                  </w:r>
                </w:p>
              </w:tc>
              <w:tc>
                <w:tcPr>
                  <w:tcW w:w="831" w:type="dxa"/>
                  <w:noWrap/>
                  <w:vAlign w:val="center"/>
                </w:tcPr>
                <w:p>
                  <w:pPr>
                    <w:pStyle w:val="63"/>
                    <w:rPr>
                      <w:rFonts w:hint="eastAsia"/>
                      <w:color w:val="auto"/>
                      <w:highlight w:val="none"/>
                      <w:lang w:val="en-US" w:eastAsia="zh-CN"/>
                    </w:rPr>
                  </w:pPr>
                  <w:r>
                    <w:rPr>
                      <w:rFonts w:hint="eastAsia"/>
                      <w:color w:val="auto"/>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974" w:type="dxa"/>
                  <w:gridSpan w:val="3"/>
                  <w:noWrap/>
                  <w:vAlign w:val="center"/>
                </w:tcPr>
                <w:p>
                  <w:pPr>
                    <w:pStyle w:val="63"/>
                    <w:rPr>
                      <w:rFonts w:hint="default"/>
                      <w:color w:val="auto"/>
                      <w:highlight w:val="none"/>
                    </w:rPr>
                  </w:pPr>
                  <w:r>
                    <w:rPr>
                      <w:rFonts w:hint="default"/>
                      <w:color w:val="auto"/>
                      <w:highlight w:val="none"/>
                    </w:rPr>
                    <w:t>溶解性</w:t>
                  </w:r>
                </w:p>
              </w:tc>
              <w:tc>
                <w:tcPr>
                  <w:tcW w:w="5586" w:type="dxa"/>
                  <w:gridSpan w:val="7"/>
                  <w:noWrap/>
                  <w:vAlign w:val="center"/>
                </w:tcPr>
                <w:p>
                  <w:pPr>
                    <w:pStyle w:val="63"/>
                    <w:rPr>
                      <w:rFonts w:hint="default"/>
                      <w:color w:val="auto"/>
                      <w:highlight w:val="none"/>
                    </w:rPr>
                  </w:pPr>
                  <w:r>
                    <w:rPr>
                      <w:rFonts w:hint="default"/>
                      <w:color w:val="auto"/>
                      <w:highlight w:val="none"/>
                    </w:rPr>
                    <w:t>溶于水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restart"/>
                  <w:noWrap/>
                  <w:vAlign w:val="center"/>
                </w:tcPr>
                <w:p>
                  <w:pPr>
                    <w:pStyle w:val="63"/>
                    <w:rPr>
                      <w:rFonts w:hint="default"/>
                      <w:color w:val="auto"/>
                      <w:highlight w:val="none"/>
                    </w:rPr>
                  </w:pPr>
                  <w:r>
                    <w:rPr>
                      <w:rFonts w:hint="default"/>
                      <w:color w:val="auto"/>
                      <w:highlight w:val="none"/>
                    </w:rPr>
                    <w:t>燃</w:t>
                  </w:r>
                </w:p>
                <w:p>
                  <w:pPr>
                    <w:pStyle w:val="63"/>
                    <w:rPr>
                      <w:rFonts w:hint="default"/>
                      <w:color w:val="auto"/>
                      <w:highlight w:val="none"/>
                    </w:rPr>
                  </w:pPr>
                  <w:r>
                    <w:rPr>
                      <w:rFonts w:hint="default"/>
                      <w:color w:val="auto"/>
                      <w:highlight w:val="none"/>
                    </w:rPr>
                    <w:t>烧</w:t>
                  </w:r>
                </w:p>
                <w:p>
                  <w:pPr>
                    <w:pStyle w:val="63"/>
                    <w:rPr>
                      <w:rFonts w:hint="default"/>
                      <w:color w:val="auto"/>
                      <w:highlight w:val="none"/>
                    </w:rPr>
                  </w:pPr>
                  <w:r>
                    <w:rPr>
                      <w:rFonts w:hint="default"/>
                      <w:color w:val="auto"/>
                      <w:highlight w:val="none"/>
                    </w:rPr>
                    <w:t>爆</w:t>
                  </w:r>
                </w:p>
                <w:p>
                  <w:pPr>
                    <w:pStyle w:val="63"/>
                    <w:rPr>
                      <w:rFonts w:hint="default"/>
                      <w:color w:val="auto"/>
                      <w:highlight w:val="none"/>
                    </w:rPr>
                  </w:pPr>
                  <w:r>
                    <w:rPr>
                      <w:rFonts w:hint="default"/>
                      <w:color w:val="auto"/>
                      <w:highlight w:val="none"/>
                    </w:rPr>
                    <w:t>炸</w:t>
                  </w:r>
                </w:p>
                <w:p>
                  <w:pPr>
                    <w:pStyle w:val="63"/>
                    <w:rPr>
                      <w:rFonts w:hint="default"/>
                      <w:color w:val="auto"/>
                      <w:highlight w:val="none"/>
                    </w:rPr>
                  </w:pPr>
                  <w:r>
                    <w:rPr>
                      <w:rFonts w:hint="default"/>
                      <w:color w:val="auto"/>
                      <w:highlight w:val="none"/>
                    </w:rPr>
                    <w:t>危</w:t>
                  </w:r>
                </w:p>
                <w:p>
                  <w:pPr>
                    <w:pStyle w:val="63"/>
                    <w:rPr>
                      <w:rFonts w:hint="default"/>
                      <w:color w:val="auto"/>
                      <w:highlight w:val="none"/>
                    </w:rPr>
                  </w:pPr>
                  <w:r>
                    <w:rPr>
                      <w:rFonts w:hint="default"/>
                      <w:color w:val="auto"/>
                      <w:highlight w:val="none"/>
                    </w:rPr>
                    <w:t>险</w:t>
                  </w:r>
                </w:p>
                <w:p>
                  <w:pPr>
                    <w:pStyle w:val="63"/>
                    <w:rPr>
                      <w:rFonts w:hint="default"/>
                      <w:color w:val="auto"/>
                      <w:highlight w:val="none"/>
                    </w:rPr>
                  </w:pPr>
                  <w:r>
                    <w:rPr>
                      <w:rFonts w:hint="default"/>
                      <w:color w:val="auto"/>
                      <w:highlight w:val="none"/>
                    </w:rPr>
                    <w:t>性</w:t>
                  </w:r>
                </w:p>
              </w:tc>
              <w:tc>
                <w:tcPr>
                  <w:tcW w:w="1974" w:type="dxa"/>
                  <w:gridSpan w:val="3"/>
                  <w:noWrap/>
                  <w:vAlign w:val="center"/>
                </w:tcPr>
                <w:p>
                  <w:pPr>
                    <w:pStyle w:val="63"/>
                    <w:rPr>
                      <w:rFonts w:hint="default"/>
                      <w:color w:val="auto"/>
                      <w:highlight w:val="none"/>
                    </w:rPr>
                  </w:pPr>
                  <w:r>
                    <w:rPr>
                      <w:rFonts w:hint="default"/>
                      <w:color w:val="auto"/>
                      <w:highlight w:val="none"/>
                    </w:rPr>
                    <w:t>燃烧性</w:t>
                  </w:r>
                </w:p>
              </w:tc>
              <w:tc>
                <w:tcPr>
                  <w:tcW w:w="1974" w:type="dxa"/>
                  <w:gridSpan w:val="2"/>
                  <w:noWrap/>
                  <w:vAlign w:val="center"/>
                </w:tcPr>
                <w:p>
                  <w:pPr>
                    <w:pStyle w:val="63"/>
                    <w:rPr>
                      <w:rFonts w:hint="eastAsia"/>
                      <w:color w:val="auto"/>
                      <w:highlight w:val="none"/>
                      <w:lang w:eastAsia="zh-CN"/>
                    </w:rPr>
                  </w:pPr>
                  <w:r>
                    <w:rPr>
                      <w:rFonts w:hint="eastAsia"/>
                      <w:color w:val="auto"/>
                      <w:highlight w:val="none"/>
                      <w:lang w:val="en-US" w:eastAsia="zh-CN"/>
                    </w:rPr>
                    <w:t>不燃</w:t>
                  </w:r>
                </w:p>
              </w:tc>
              <w:tc>
                <w:tcPr>
                  <w:tcW w:w="2781" w:type="dxa"/>
                  <w:gridSpan w:val="4"/>
                  <w:noWrap/>
                  <w:vAlign w:val="center"/>
                </w:tcPr>
                <w:p>
                  <w:pPr>
                    <w:pStyle w:val="63"/>
                    <w:rPr>
                      <w:rFonts w:hint="default"/>
                      <w:color w:val="auto"/>
                      <w:highlight w:val="none"/>
                    </w:rPr>
                  </w:pPr>
                  <w:r>
                    <w:rPr>
                      <w:rFonts w:hint="default"/>
                      <w:color w:val="auto"/>
                      <w:highlight w:val="none"/>
                    </w:rPr>
                    <w:t>闪点（℃）</w:t>
                  </w:r>
                </w:p>
              </w:tc>
              <w:tc>
                <w:tcPr>
                  <w:tcW w:w="831" w:type="dxa"/>
                  <w:noWrap/>
                  <w:vAlign w:val="center"/>
                </w:tcPr>
                <w:p>
                  <w:pPr>
                    <w:pStyle w:val="63"/>
                    <w:rPr>
                      <w:rFonts w:hint="eastAsia"/>
                      <w:color w:val="auto"/>
                      <w:highlight w:val="none"/>
                      <w:lang w:eastAsia="zh-CN"/>
                    </w:rPr>
                  </w:pPr>
                  <w:r>
                    <w:rPr>
                      <w:rFonts w:hint="eastAsia"/>
                      <w:color w:val="auto"/>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974" w:type="dxa"/>
                  <w:gridSpan w:val="3"/>
                  <w:noWrap/>
                  <w:vAlign w:val="center"/>
                </w:tcPr>
                <w:p>
                  <w:pPr>
                    <w:pStyle w:val="63"/>
                    <w:rPr>
                      <w:rFonts w:hint="default"/>
                      <w:color w:val="auto"/>
                      <w:highlight w:val="none"/>
                    </w:rPr>
                  </w:pPr>
                  <w:r>
                    <w:rPr>
                      <w:rFonts w:hint="default"/>
                      <w:color w:val="auto"/>
                      <w:highlight w:val="none"/>
                    </w:rPr>
                    <w:t>爆炸极限（％）</w:t>
                  </w:r>
                </w:p>
              </w:tc>
              <w:tc>
                <w:tcPr>
                  <w:tcW w:w="1974" w:type="dxa"/>
                  <w:gridSpan w:val="2"/>
                  <w:noWrap/>
                  <w:vAlign w:val="center"/>
                </w:tcPr>
                <w:p>
                  <w:pPr>
                    <w:pStyle w:val="63"/>
                    <w:rPr>
                      <w:rFonts w:hint="default"/>
                      <w:color w:val="auto"/>
                      <w:highlight w:val="none"/>
                    </w:rPr>
                  </w:pPr>
                  <w:r>
                    <w:rPr>
                      <w:rFonts w:hint="default"/>
                      <w:color w:val="auto"/>
                      <w:highlight w:val="none"/>
                    </w:rPr>
                    <w:t>无资料</w:t>
                  </w:r>
                </w:p>
              </w:tc>
              <w:tc>
                <w:tcPr>
                  <w:tcW w:w="2781" w:type="dxa"/>
                  <w:gridSpan w:val="4"/>
                  <w:noWrap/>
                  <w:vAlign w:val="center"/>
                </w:tcPr>
                <w:p>
                  <w:pPr>
                    <w:pStyle w:val="63"/>
                    <w:rPr>
                      <w:rFonts w:hint="default"/>
                      <w:color w:val="auto"/>
                      <w:highlight w:val="none"/>
                    </w:rPr>
                  </w:pPr>
                  <w:r>
                    <w:rPr>
                      <w:rFonts w:hint="default"/>
                      <w:color w:val="auto"/>
                      <w:highlight w:val="none"/>
                    </w:rPr>
                    <w:t>最小点火能（MJ）</w:t>
                  </w:r>
                </w:p>
              </w:tc>
              <w:tc>
                <w:tcPr>
                  <w:tcW w:w="831" w:type="dxa"/>
                  <w:noWrap/>
                  <w:vAlign w:val="center"/>
                </w:tcPr>
                <w:p>
                  <w:pPr>
                    <w:pStyle w:val="63"/>
                    <w:rPr>
                      <w:rFonts w:hint="default"/>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974" w:type="dxa"/>
                  <w:gridSpan w:val="3"/>
                  <w:noWrap/>
                  <w:vAlign w:val="center"/>
                </w:tcPr>
                <w:p>
                  <w:pPr>
                    <w:pStyle w:val="63"/>
                    <w:rPr>
                      <w:rFonts w:hint="default"/>
                      <w:color w:val="auto"/>
                      <w:highlight w:val="none"/>
                    </w:rPr>
                  </w:pPr>
                  <w:r>
                    <w:rPr>
                      <w:rFonts w:hint="default"/>
                      <w:color w:val="auto"/>
                      <w:highlight w:val="none"/>
                    </w:rPr>
                    <w:t>引燃温度（℃）</w:t>
                  </w:r>
                </w:p>
              </w:tc>
              <w:tc>
                <w:tcPr>
                  <w:tcW w:w="1974" w:type="dxa"/>
                  <w:gridSpan w:val="2"/>
                  <w:noWrap/>
                  <w:vAlign w:val="center"/>
                </w:tcPr>
                <w:p>
                  <w:pPr>
                    <w:pStyle w:val="63"/>
                    <w:rPr>
                      <w:rFonts w:hint="default"/>
                      <w:color w:val="auto"/>
                      <w:highlight w:val="none"/>
                    </w:rPr>
                  </w:pPr>
                  <w:r>
                    <w:rPr>
                      <w:rFonts w:hint="default"/>
                      <w:color w:val="auto"/>
                      <w:highlight w:val="none"/>
                    </w:rPr>
                    <w:t>/</w:t>
                  </w:r>
                </w:p>
              </w:tc>
              <w:tc>
                <w:tcPr>
                  <w:tcW w:w="2781" w:type="dxa"/>
                  <w:gridSpan w:val="4"/>
                  <w:noWrap/>
                  <w:vAlign w:val="center"/>
                </w:tcPr>
                <w:p>
                  <w:pPr>
                    <w:pStyle w:val="63"/>
                    <w:rPr>
                      <w:rFonts w:hint="default"/>
                      <w:color w:val="auto"/>
                      <w:highlight w:val="none"/>
                    </w:rPr>
                  </w:pPr>
                  <w:r>
                    <w:rPr>
                      <w:rFonts w:hint="default"/>
                      <w:color w:val="auto"/>
                      <w:highlight w:val="none"/>
                    </w:rPr>
                    <w:t>最大爆炸压力（Mpa）</w:t>
                  </w:r>
                </w:p>
              </w:tc>
              <w:tc>
                <w:tcPr>
                  <w:tcW w:w="831" w:type="dxa"/>
                  <w:noWrap/>
                  <w:vAlign w:val="center"/>
                </w:tcPr>
                <w:p>
                  <w:pPr>
                    <w:pStyle w:val="63"/>
                    <w:rPr>
                      <w:rFonts w:hint="default"/>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080" w:type="dxa"/>
                  <w:noWrap/>
                  <w:vAlign w:val="center"/>
                </w:tcPr>
                <w:p>
                  <w:pPr>
                    <w:pStyle w:val="63"/>
                    <w:rPr>
                      <w:rFonts w:hint="default"/>
                      <w:color w:val="auto"/>
                      <w:highlight w:val="none"/>
                    </w:rPr>
                  </w:pPr>
                  <w:r>
                    <w:rPr>
                      <w:rFonts w:hint="default"/>
                      <w:color w:val="auto"/>
                      <w:highlight w:val="none"/>
                    </w:rPr>
                    <w:t>危险特性</w:t>
                  </w:r>
                </w:p>
              </w:tc>
              <w:tc>
                <w:tcPr>
                  <w:tcW w:w="6480" w:type="dxa"/>
                  <w:gridSpan w:val="9"/>
                  <w:noWrap/>
                  <w:vAlign w:val="center"/>
                </w:tcPr>
                <w:p>
                  <w:pPr>
                    <w:pStyle w:val="63"/>
                    <w:rPr>
                      <w:rFonts w:hint="default"/>
                      <w:color w:val="auto"/>
                      <w:highlight w:val="none"/>
                    </w:rPr>
                  </w:pPr>
                  <w:r>
                    <w:rPr>
                      <w:rFonts w:hint="default"/>
                      <w:color w:val="auto"/>
                      <w:highlight w:val="none"/>
                    </w:rPr>
                    <w:t>可燃，燃烧可能形成在空气中的和液体微粒及气体的复杂的混合物，包括一氧化碳，氧化硫及未能识别的有机及无机的化合物。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080" w:type="dxa"/>
                  <w:noWrap/>
                  <w:vAlign w:val="center"/>
                </w:tcPr>
                <w:p>
                  <w:pPr>
                    <w:pStyle w:val="63"/>
                    <w:rPr>
                      <w:rFonts w:hint="default"/>
                      <w:color w:val="auto"/>
                      <w:highlight w:val="none"/>
                    </w:rPr>
                  </w:pPr>
                  <w:r>
                    <w:rPr>
                      <w:rFonts w:hint="default"/>
                      <w:color w:val="auto"/>
                      <w:highlight w:val="none"/>
                    </w:rPr>
                    <w:t>灭火方法</w:t>
                  </w:r>
                </w:p>
              </w:tc>
              <w:tc>
                <w:tcPr>
                  <w:tcW w:w="6480" w:type="dxa"/>
                  <w:gridSpan w:val="9"/>
                  <w:noWrap/>
                  <w:vAlign w:val="center"/>
                </w:tcPr>
                <w:p>
                  <w:pPr>
                    <w:pStyle w:val="63"/>
                    <w:rPr>
                      <w:rFonts w:hint="default"/>
                      <w:color w:val="auto"/>
                      <w:highlight w:val="none"/>
                      <w:lang w:val="zh-CN"/>
                    </w:rPr>
                  </w:pPr>
                  <w:r>
                    <w:rPr>
                      <w:rFonts w:hint="default"/>
                      <w:color w:val="auto"/>
                      <w:highlight w:val="none"/>
                      <w:lang w:val="zh-CN"/>
                    </w:rPr>
                    <w:t>小火一一干粉灭火剂，大火一一二氧化碳、泡沫灭火剂。</w:t>
                  </w:r>
                </w:p>
                <w:p>
                  <w:pPr>
                    <w:pStyle w:val="63"/>
                    <w:rPr>
                      <w:rFonts w:hint="default"/>
                      <w:color w:val="auto"/>
                      <w:highlight w:val="none"/>
                    </w:rPr>
                  </w:pPr>
                  <w:r>
                    <w:rPr>
                      <w:rFonts w:hint="default"/>
                      <w:color w:val="auto"/>
                      <w:highlight w:val="none"/>
                      <w:lang w:val="zh-CN"/>
                    </w:rPr>
                    <w:t>灭火可能遭遇之特殊危害：1、可能分解出一氧化碳及二氧化碳气体。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080" w:type="dxa"/>
                  <w:noWrap/>
                  <w:vAlign w:val="center"/>
                </w:tcPr>
                <w:p>
                  <w:pPr>
                    <w:pStyle w:val="63"/>
                    <w:rPr>
                      <w:rFonts w:hint="default"/>
                      <w:color w:val="auto"/>
                      <w:highlight w:val="none"/>
                    </w:rPr>
                  </w:pPr>
                  <w:r>
                    <w:rPr>
                      <w:rFonts w:hint="default"/>
                      <w:color w:val="auto"/>
                      <w:highlight w:val="none"/>
                    </w:rPr>
                    <w:t>禁忌物</w:t>
                  </w:r>
                </w:p>
              </w:tc>
              <w:tc>
                <w:tcPr>
                  <w:tcW w:w="2868" w:type="dxa"/>
                  <w:gridSpan w:val="4"/>
                  <w:noWrap/>
                  <w:vAlign w:val="center"/>
                </w:tcPr>
                <w:p>
                  <w:pPr>
                    <w:pStyle w:val="63"/>
                    <w:rPr>
                      <w:rFonts w:hint="default"/>
                      <w:color w:val="auto"/>
                      <w:highlight w:val="none"/>
                    </w:rPr>
                  </w:pPr>
                </w:p>
              </w:tc>
              <w:tc>
                <w:tcPr>
                  <w:tcW w:w="2276" w:type="dxa"/>
                  <w:gridSpan w:val="3"/>
                  <w:noWrap/>
                  <w:vAlign w:val="center"/>
                </w:tcPr>
                <w:p>
                  <w:pPr>
                    <w:pStyle w:val="63"/>
                    <w:rPr>
                      <w:rFonts w:hint="default"/>
                      <w:color w:val="auto"/>
                      <w:highlight w:val="none"/>
                    </w:rPr>
                  </w:pPr>
                  <w:r>
                    <w:rPr>
                      <w:rFonts w:hint="default"/>
                      <w:color w:val="auto"/>
                      <w:highlight w:val="none"/>
                    </w:rPr>
                    <w:t>稳定性</w:t>
                  </w:r>
                </w:p>
              </w:tc>
              <w:tc>
                <w:tcPr>
                  <w:tcW w:w="1336" w:type="dxa"/>
                  <w:gridSpan w:val="2"/>
                  <w:noWrap/>
                  <w:vAlign w:val="center"/>
                </w:tcPr>
                <w:p>
                  <w:pPr>
                    <w:pStyle w:val="63"/>
                    <w:rPr>
                      <w:rFonts w:hint="default"/>
                      <w:color w:val="auto"/>
                      <w:highlight w:val="none"/>
                    </w:rPr>
                  </w:pPr>
                  <w:r>
                    <w:rPr>
                      <w:rFonts w:hint="default"/>
                      <w:color w:val="auto"/>
                      <w:highlight w:val="none"/>
                    </w:rPr>
                    <w:t>稳定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080" w:type="dxa"/>
                  <w:noWrap/>
                  <w:vAlign w:val="center"/>
                </w:tcPr>
                <w:p>
                  <w:pPr>
                    <w:pStyle w:val="63"/>
                    <w:rPr>
                      <w:rFonts w:hint="default"/>
                      <w:color w:val="auto"/>
                      <w:highlight w:val="none"/>
                    </w:rPr>
                  </w:pPr>
                  <w:r>
                    <w:rPr>
                      <w:rFonts w:hint="default"/>
                      <w:color w:val="auto"/>
                      <w:highlight w:val="none"/>
                    </w:rPr>
                    <w:t>燃烧产物</w:t>
                  </w:r>
                </w:p>
              </w:tc>
              <w:tc>
                <w:tcPr>
                  <w:tcW w:w="2868" w:type="dxa"/>
                  <w:gridSpan w:val="4"/>
                  <w:noWrap/>
                  <w:vAlign w:val="center"/>
                </w:tcPr>
                <w:p>
                  <w:pPr>
                    <w:pStyle w:val="63"/>
                    <w:rPr>
                      <w:rFonts w:hint="eastAsia"/>
                      <w:color w:val="auto"/>
                      <w:highlight w:val="none"/>
                      <w:lang w:eastAsia="zh-CN"/>
                    </w:rPr>
                  </w:pPr>
                  <w:r>
                    <w:rPr>
                      <w:rFonts w:hint="eastAsia"/>
                      <w:color w:val="auto"/>
                      <w:highlight w:val="none"/>
                      <w:lang w:val="en-US" w:eastAsia="zh-CN"/>
                    </w:rPr>
                    <w:t>/</w:t>
                  </w:r>
                </w:p>
              </w:tc>
              <w:tc>
                <w:tcPr>
                  <w:tcW w:w="2276" w:type="dxa"/>
                  <w:gridSpan w:val="3"/>
                  <w:noWrap/>
                  <w:vAlign w:val="center"/>
                </w:tcPr>
                <w:p>
                  <w:pPr>
                    <w:pStyle w:val="63"/>
                    <w:rPr>
                      <w:rFonts w:hint="default"/>
                      <w:color w:val="auto"/>
                      <w:highlight w:val="none"/>
                    </w:rPr>
                  </w:pPr>
                  <w:r>
                    <w:rPr>
                      <w:rFonts w:hint="default"/>
                      <w:color w:val="auto"/>
                      <w:highlight w:val="none"/>
                    </w:rPr>
                    <w:t>聚合危害</w:t>
                  </w:r>
                </w:p>
              </w:tc>
              <w:tc>
                <w:tcPr>
                  <w:tcW w:w="1336" w:type="dxa"/>
                  <w:gridSpan w:val="2"/>
                  <w:noWrap/>
                  <w:vAlign w:val="center"/>
                </w:tcPr>
                <w:p>
                  <w:pPr>
                    <w:pStyle w:val="63"/>
                    <w:rPr>
                      <w:rFonts w:hint="eastAsia"/>
                      <w:color w:val="auto"/>
                      <w:highlight w:val="none"/>
                      <w:lang w:eastAsia="zh-CN"/>
                    </w:rPr>
                  </w:pPr>
                  <w:r>
                    <w:rPr>
                      <w:rFonts w:hint="eastAsia"/>
                      <w:color w:val="auto"/>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restart"/>
                  <w:noWrap/>
                  <w:vAlign w:val="center"/>
                </w:tcPr>
                <w:p>
                  <w:pPr>
                    <w:pStyle w:val="63"/>
                    <w:rPr>
                      <w:rFonts w:hint="default"/>
                      <w:color w:val="auto"/>
                      <w:highlight w:val="none"/>
                    </w:rPr>
                  </w:pPr>
                  <w:r>
                    <w:rPr>
                      <w:rFonts w:hint="default"/>
                      <w:color w:val="auto"/>
                      <w:highlight w:val="none"/>
                    </w:rPr>
                    <w:t>毒</w:t>
                  </w:r>
                </w:p>
                <w:p>
                  <w:pPr>
                    <w:pStyle w:val="63"/>
                    <w:rPr>
                      <w:rFonts w:hint="default"/>
                      <w:color w:val="auto"/>
                      <w:highlight w:val="none"/>
                    </w:rPr>
                  </w:pPr>
                  <w:r>
                    <w:rPr>
                      <w:rFonts w:hint="default"/>
                      <w:color w:val="auto"/>
                      <w:highlight w:val="none"/>
                    </w:rPr>
                    <w:t>性</w:t>
                  </w:r>
                </w:p>
                <w:p>
                  <w:pPr>
                    <w:pStyle w:val="63"/>
                    <w:rPr>
                      <w:rFonts w:hint="default"/>
                      <w:color w:val="auto"/>
                      <w:highlight w:val="none"/>
                    </w:rPr>
                  </w:pPr>
                  <w:r>
                    <w:rPr>
                      <w:rFonts w:hint="default"/>
                      <w:color w:val="auto"/>
                      <w:highlight w:val="none"/>
                    </w:rPr>
                    <w:t>及</w:t>
                  </w:r>
                </w:p>
                <w:p>
                  <w:pPr>
                    <w:pStyle w:val="63"/>
                    <w:rPr>
                      <w:rFonts w:hint="default"/>
                      <w:color w:val="auto"/>
                      <w:highlight w:val="none"/>
                    </w:rPr>
                  </w:pPr>
                  <w:r>
                    <w:rPr>
                      <w:rFonts w:hint="default"/>
                      <w:color w:val="auto"/>
                      <w:highlight w:val="none"/>
                    </w:rPr>
                    <w:t>健</w:t>
                  </w:r>
                </w:p>
                <w:p>
                  <w:pPr>
                    <w:pStyle w:val="63"/>
                    <w:rPr>
                      <w:rFonts w:hint="default"/>
                      <w:color w:val="auto"/>
                      <w:highlight w:val="none"/>
                    </w:rPr>
                  </w:pPr>
                  <w:r>
                    <w:rPr>
                      <w:rFonts w:hint="default"/>
                      <w:color w:val="auto"/>
                      <w:highlight w:val="none"/>
                    </w:rPr>
                    <w:t>康</w:t>
                  </w:r>
                </w:p>
                <w:p>
                  <w:pPr>
                    <w:pStyle w:val="63"/>
                    <w:rPr>
                      <w:rFonts w:hint="default"/>
                      <w:color w:val="auto"/>
                      <w:highlight w:val="none"/>
                    </w:rPr>
                  </w:pPr>
                  <w:r>
                    <w:rPr>
                      <w:rFonts w:hint="default"/>
                      <w:color w:val="auto"/>
                      <w:highlight w:val="none"/>
                    </w:rPr>
                    <w:t>危</w:t>
                  </w:r>
                </w:p>
                <w:p>
                  <w:pPr>
                    <w:pStyle w:val="63"/>
                    <w:rPr>
                      <w:rFonts w:hint="default"/>
                      <w:color w:val="auto"/>
                      <w:highlight w:val="none"/>
                    </w:rPr>
                  </w:pPr>
                  <w:r>
                    <w:rPr>
                      <w:rFonts w:hint="default"/>
                      <w:color w:val="auto"/>
                      <w:highlight w:val="none"/>
                    </w:rPr>
                    <w:t>害</w:t>
                  </w:r>
                </w:p>
              </w:tc>
              <w:tc>
                <w:tcPr>
                  <w:tcW w:w="1080" w:type="dxa"/>
                  <w:noWrap/>
                  <w:vAlign w:val="center"/>
                </w:tcPr>
                <w:p>
                  <w:pPr>
                    <w:pStyle w:val="63"/>
                    <w:rPr>
                      <w:rFonts w:hint="default"/>
                      <w:color w:val="auto"/>
                      <w:highlight w:val="none"/>
                    </w:rPr>
                  </w:pPr>
                  <w:r>
                    <w:rPr>
                      <w:rFonts w:hint="default"/>
                      <w:color w:val="auto"/>
                      <w:highlight w:val="none"/>
                    </w:rPr>
                    <w:t>急性毒性</w:t>
                  </w:r>
                </w:p>
              </w:tc>
              <w:tc>
                <w:tcPr>
                  <w:tcW w:w="2868" w:type="dxa"/>
                  <w:gridSpan w:val="4"/>
                  <w:noWrap/>
                  <w:vAlign w:val="center"/>
                </w:tcPr>
                <w:p>
                  <w:pPr>
                    <w:pStyle w:val="63"/>
                    <w:rPr>
                      <w:rFonts w:hint="default"/>
                      <w:color w:val="auto"/>
                      <w:highlight w:val="none"/>
                    </w:rPr>
                  </w:pPr>
                  <w:r>
                    <w:rPr>
                      <w:rFonts w:hint="default"/>
                      <w:color w:val="auto"/>
                      <w:highlight w:val="none"/>
                    </w:rPr>
                    <w:t>LD50（mg/kg，大鼠经口）</w:t>
                  </w:r>
                </w:p>
              </w:tc>
              <w:tc>
                <w:tcPr>
                  <w:tcW w:w="936" w:type="dxa"/>
                  <w:noWrap/>
                  <w:vAlign w:val="center"/>
                </w:tcPr>
                <w:p>
                  <w:pPr>
                    <w:pStyle w:val="63"/>
                    <w:rPr>
                      <w:rFonts w:hint="default"/>
                      <w:color w:val="auto"/>
                      <w:highlight w:val="none"/>
                    </w:rPr>
                  </w:pPr>
                  <w:r>
                    <w:rPr>
                      <w:rFonts w:hint="default"/>
                      <w:color w:val="auto"/>
                      <w:highlight w:val="none"/>
                    </w:rPr>
                    <w:t>无资料</w:t>
                  </w:r>
                </w:p>
              </w:tc>
              <w:tc>
                <w:tcPr>
                  <w:tcW w:w="1340" w:type="dxa"/>
                  <w:gridSpan w:val="2"/>
                  <w:noWrap/>
                  <w:vAlign w:val="center"/>
                </w:tcPr>
                <w:p>
                  <w:pPr>
                    <w:pStyle w:val="63"/>
                    <w:rPr>
                      <w:rFonts w:hint="default"/>
                      <w:color w:val="auto"/>
                      <w:highlight w:val="none"/>
                    </w:rPr>
                  </w:pPr>
                  <w:r>
                    <w:rPr>
                      <w:rFonts w:hint="default"/>
                      <w:color w:val="auto"/>
                      <w:highlight w:val="none"/>
                    </w:rPr>
                    <w:t>LC50（mg/kg）</w:t>
                  </w:r>
                </w:p>
              </w:tc>
              <w:tc>
                <w:tcPr>
                  <w:tcW w:w="1336" w:type="dxa"/>
                  <w:gridSpan w:val="2"/>
                  <w:noWrap/>
                  <w:vAlign w:val="center"/>
                </w:tcPr>
                <w:p>
                  <w:pPr>
                    <w:pStyle w:val="63"/>
                    <w:rPr>
                      <w:rFonts w:hint="default"/>
                      <w:color w:val="auto"/>
                      <w:highlight w:val="none"/>
                    </w:rPr>
                  </w:pPr>
                  <w:r>
                    <w:rPr>
                      <w:rFonts w:hint="default"/>
                      <w:color w:val="auto"/>
                      <w:highlight w:val="none"/>
                    </w:rPr>
                    <w:t>无资料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080" w:type="dxa"/>
                  <w:vMerge w:val="restart"/>
                  <w:noWrap/>
                  <w:vAlign w:val="center"/>
                </w:tcPr>
                <w:p>
                  <w:pPr>
                    <w:pStyle w:val="63"/>
                    <w:rPr>
                      <w:rFonts w:hint="default"/>
                      <w:color w:val="auto"/>
                      <w:highlight w:val="none"/>
                    </w:rPr>
                  </w:pPr>
                  <w:r>
                    <w:rPr>
                      <w:rFonts w:hint="default"/>
                      <w:color w:val="auto"/>
                      <w:highlight w:val="none"/>
                    </w:rPr>
                    <w:t>健康危害</w:t>
                  </w:r>
                </w:p>
              </w:tc>
              <w:tc>
                <w:tcPr>
                  <w:tcW w:w="3804" w:type="dxa"/>
                  <w:gridSpan w:val="5"/>
                  <w:noWrap/>
                  <w:vAlign w:val="center"/>
                </w:tcPr>
                <w:p>
                  <w:pPr>
                    <w:pStyle w:val="63"/>
                    <w:rPr>
                      <w:rFonts w:hint="default"/>
                      <w:color w:val="auto"/>
                      <w:highlight w:val="none"/>
                    </w:rPr>
                  </w:pPr>
                  <w:r>
                    <w:rPr>
                      <w:rFonts w:hint="default"/>
                      <w:color w:val="auto"/>
                      <w:highlight w:val="none"/>
                    </w:rPr>
                    <w:t>车间卫生标准</w:t>
                  </w:r>
                </w:p>
              </w:tc>
              <w:tc>
                <w:tcPr>
                  <w:tcW w:w="2676" w:type="dxa"/>
                  <w:gridSpan w:val="4"/>
                  <w:noWrap/>
                  <w:vAlign w:val="center"/>
                </w:tcPr>
                <w:p>
                  <w:pPr>
                    <w:pStyle w:val="63"/>
                    <w:rPr>
                      <w:rFonts w:hint="default"/>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vMerge w:val="continue"/>
                  <w:noWrap/>
                  <w:vAlign w:val="center"/>
                </w:tcPr>
                <w:p>
                  <w:pPr>
                    <w:pStyle w:val="63"/>
                    <w:rPr>
                      <w:rFonts w:hint="default"/>
                      <w:color w:val="auto"/>
                      <w:highlight w:val="none"/>
                    </w:rPr>
                  </w:pPr>
                </w:p>
              </w:tc>
              <w:tc>
                <w:tcPr>
                  <w:tcW w:w="1080" w:type="dxa"/>
                  <w:vMerge w:val="continue"/>
                  <w:noWrap/>
                  <w:vAlign w:val="center"/>
                </w:tcPr>
                <w:p>
                  <w:pPr>
                    <w:pStyle w:val="63"/>
                    <w:rPr>
                      <w:rFonts w:hint="default"/>
                      <w:color w:val="auto"/>
                      <w:highlight w:val="none"/>
                    </w:rPr>
                  </w:pPr>
                </w:p>
              </w:tc>
              <w:tc>
                <w:tcPr>
                  <w:tcW w:w="6480" w:type="dxa"/>
                  <w:gridSpan w:val="9"/>
                  <w:noWrap/>
                  <w:vAlign w:val="center"/>
                </w:tcPr>
                <w:p>
                  <w:pPr>
                    <w:pStyle w:val="63"/>
                    <w:rPr>
                      <w:rFonts w:hint="default"/>
                      <w:color w:val="auto"/>
                      <w:highlight w:val="none"/>
                      <w:lang w:val="zh-CN"/>
                    </w:rPr>
                  </w:pPr>
                  <w:r>
                    <w:rPr>
                      <w:rFonts w:hint="default"/>
                      <w:color w:val="auto"/>
                      <w:highlight w:val="none"/>
                      <w:lang w:val="zh-CN"/>
                    </w:rPr>
                    <w:t>吸入：停止操作，置于通风良好的环境中。</w:t>
                  </w:r>
                </w:p>
                <w:p>
                  <w:pPr>
                    <w:pStyle w:val="63"/>
                    <w:rPr>
                      <w:rFonts w:hint="default"/>
                      <w:color w:val="auto"/>
                      <w:highlight w:val="none"/>
                      <w:lang w:val="zh-CN"/>
                    </w:rPr>
                  </w:pPr>
                  <w:r>
                    <w:rPr>
                      <w:rFonts w:hint="default"/>
                      <w:color w:val="auto"/>
                      <w:highlight w:val="none"/>
                      <w:lang w:val="zh-CN"/>
                    </w:rPr>
                    <w:t>皮肤接触：用清洗剂清洗干净即可。</w:t>
                  </w:r>
                </w:p>
                <w:p>
                  <w:pPr>
                    <w:pStyle w:val="63"/>
                    <w:rPr>
                      <w:rFonts w:hint="default"/>
                      <w:color w:val="auto"/>
                      <w:highlight w:val="none"/>
                      <w:lang w:val="zh-CN"/>
                    </w:rPr>
                  </w:pPr>
                  <w:r>
                    <w:rPr>
                      <w:rFonts w:hint="default"/>
                      <w:color w:val="auto"/>
                      <w:highlight w:val="none"/>
                      <w:lang w:val="zh-CN"/>
                    </w:rPr>
                    <w:t>眼睛接触：立即大量清水冲洗，再用消炎药水清洗，并马上送去医院。</w:t>
                  </w:r>
                </w:p>
                <w:p>
                  <w:pPr>
                    <w:pStyle w:val="63"/>
                    <w:rPr>
                      <w:rFonts w:hint="default"/>
                      <w:color w:val="auto"/>
                      <w:highlight w:val="none"/>
                    </w:rPr>
                  </w:pPr>
                  <w:r>
                    <w:rPr>
                      <w:rFonts w:hint="default"/>
                      <w:color w:val="auto"/>
                      <w:highlight w:val="none"/>
                      <w:lang w:val="zh-CN"/>
                    </w:rPr>
                    <w:t>吞食：清洗肠胃。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noWrap/>
                  <w:vAlign w:val="center"/>
                </w:tcPr>
                <w:p>
                  <w:pPr>
                    <w:pStyle w:val="63"/>
                    <w:rPr>
                      <w:rFonts w:hint="default"/>
                      <w:color w:val="auto"/>
                      <w:highlight w:val="none"/>
                    </w:rPr>
                  </w:pPr>
                  <w:r>
                    <w:rPr>
                      <w:rFonts w:hint="default"/>
                      <w:color w:val="auto"/>
                      <w:highlight w:val="none"/>
                    </w:rPr>
                    <w:t>急救</w:t>
                  </w:r>
                </w:p>
              </w:tc>
              <w:tc>
                <w:tcPr>
                  <w:tcW w:w="7560" w:type="dxa"/>
                  <w:gridSpan w:val="10"/>
                  <w:noWrap/>
                  <w:vAlign w:val="center"/>
                </w:tcPr>
                <w:p>
                  <w:pPr>
                    <w:pStyle w:val="63"/>
                    <w:rPr>
                      <w:rFonts w:hint="default"/>
                      <w:color w:val="auto"/>
                      <w:highlight w:val="none"/>
                    </w:rPr>
                  </w:pPr>
                  <w:r>
                    <w:rPr>
                      <w:rFonts w:hint="default"/>
                      <w:color w:val="auto"/>
                      <w:highlight w:val="none"/>
                      <w:lang w:val="zh-CN"/>
                    </w:rPr>
                    <w:t>无特别灭火程序，无罕见火情或爆炸危险。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noWrap/>
                  <w:vAlign w:val="center"/>
                </w:tcPr>
                <w:p>
                  <w:pPr>
                    <w:pStyle w:val="63"/>
                    <w:rPr>
                      <w:rFonts w:hint="default"/>
                      <w:color w:val="auto"/>
                      <w:highlight w:val="none"/>
                    </w:rPr>
                  </w:pPr>
                  <w:r>
                    <w:rPr>
                      <w:rFonts w:hint="default"/>
                      <w:color w:val="auto"/>
                      <w:highlight w:val="none"/>
                    </w:rPr>
                    <w:t>防护</w:t>
                  </w:r>
                </w:p>
              </w:tc>
              <w:tc>
                <w:tcPr>
                  <w:tcW w:w="7560" w:type="dxa"/>
                  <w:gridSpan w:val="10"/>
                  <w:noWrap/>
                  <w:vAlign w:val="center"/>
                </w:tcPr>
                <w:p>
                  <w:pPr>
                    <w:pStyle w:val="63"/>
                    <w:rPr>
                      <w:rFonts w:hint="default"/>
                      <w:color w:val="auto"/>
                      <w:highlight w:val="none"/>
                    </w:rPr>
                  </w:pPr>
                  <w:r>
                    <w:rPr>
                      <w:rFonts w:hint="default"/>
                      <w:color w:val="auto"/>
                      <w:highlight w:val="none"/>
                      <w:lang w:val="zh-CN"/>
                    </w:rPr>
                    <w:t>无需呼吸保护，排气地方无正规要求，一般化学品室内有足够通风，不需防护手套，不需其它防护设备，需要戴眼镜。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noWrap/>
                  <w:vAlign w:val="center"/>
                </w:tcPr>
                <w:p>
                  <w:pPr>
                    <w:pStyle w:val="63"/>
                    <w:rPr>
                      <w:rFonts w:hint="default"/>
                      <w:color w:val="auto"/>
                      <w:highlight w:val="none"/>
                    </w:rPr>
                  </w:pPr>
                  <w:r>
                    <w:rPr>
                      <w:rFonts w:hint="default"/>
                      <w:color w:val="auto"/>
                      <w:highlight w:val="none"/>
                    </w:rPr>
                    <w:t>泄漏</w:t>
                  </w:r>
                </w:p>
                <w:p>
                  <w:pPr>
                    <w:pStyle w:val="63"/>
                    <w:rPr>
                      <w:rFonts w:hint="default"/>
                      <w:color w:val="auto"/>
                      <w:highlight w:val="none"/>
                    </w:rPr>
                  </w:pPr>
                  <w:r>
                    <w:rPr>
                      <w:rFonts w:hint="default"/>
                      <w:color w:val="auto"/>
                      <w:highlight w:val="none"/>
                    </w:rPr>
                    <w:t>处理</w:t>
                  </w:r>
                </w:p>
              </w:tc>
              <w:tc>
                <w:tcPr>
                  <w:tcW w:w="7560" w:type="dxa"/>
                  <w:gridSpan w:val="10"/>
                  <w:noWrap/>
                  <w:vAlign w:val="center"/>
                </w:tcPr>
                <w:p>
                  <w:pPr>
                    <w:pStyle w:val="63"/>
                    <w:rPr>
                      <w:rFonts w:hint="default"/>
                      <w:color w:val="auto"/>
                      <w:highlight w:val="none"/>
                      <w:lang w:val="zh-CN"/>
                    </w:rPr>
                  </w:pPr>
                  <w:r>
                    <w:rPr>
                      <w:rFonts w:hint="default"/>
                      <w:color w:val="auto"/>
                      <w:highlight w:val="none"/>
                      <w:lang w:val="zh-CN"/>
                    </w:rPr>
                    <w:t>1、在污染区尚未完全清理干净前，限制人员接近该区。</w:t>
                  </w:r>
                </w:p>
                <w:p>
                  <w:pPr>
                    <w:pStyle w:val="63"/>
                    <w:rPr>
                      <w:rFonts w:hint="default"/>
                      <w:color w:val="auto"/>
                      <w:highlight w:val="none"/>
                      <w:lang w:val="zh-CN"/>
                    </w:rPr>
                  </w:pPr>
                  <w:r>
                    <w:rPr>
                      <w:rFonts w:hint="default"/>
                      <w:color w:val="auto"/>
                      <w:highlight w:val="none"/>
                      <w:lang w:val="zh-CN"/>
                    </w:rPr>
                    <w:t>2、确定清理工作是由受过训练的人员负责。</w:t>
                  </w:r>
                </w:p>
                <w:p>
                  <w:pPr>
                    <w:pStyle w:val="63"/>
                    <w:rPr>
                      <w:rFonts w:hint="default"/>
                      <w:color w:val="auto"/>
                      <w:highlight w:val="none"/>
                      <w:lang w:val="zh-CN"/>
                    </w:rPr>
                  </w:pPr>
                  <w:r>
                    <w:rPr>
                      <w:rFonts w:hint="default"/>
                      <w:color w:val="auto"/>
                      <w:highlight w:val="none"/>
                      <w:lang w:val="zh-CN"/>
                    </w:rPr>
                    <w:t>3、穿戴适当的个人防护装备。</w:t>
                  </w:r>
                </w:p>
                <w:p>
                  <w:pPr>
                    <w:pStyle w:val="63"/>
                    <w:rPr>
                      <w:rFonts w:hint="default"/>
                      <w:color w:val="auto"/>
                      <w:highlight w:val="none"/>
                      <w:lang w:val="zh-CN"/>
                    </w:rPr>
                  </w:pPr>
                  <w:r>
                    <w:rPr>
                      <w:rFonts w:hint="default"/>
                      <w:color w:val="auto"/>
                      <w:highlight w:val="none"/>
                      <w:lang w:val="zh-CN"/>
                    </w:rPr>
                    <w:t>环境注意事项：禁止废油流入下水管路及河流、土壤，应用密封容器妥善保存。</w:t>
                  </w:r>
                </w:p>
                <w:p>
                  <w:pPr>
                    <w:pStyle w:val="63"/>
                    <w:rPr>
                      <w:rFonts w:hint="default"/>
                      <w:color w:val="auto"/>
                      <w:highlight w:val="none"/>
                    </w:rPr>
                  </w:pPr>
                  <w:r>
                    <w:rPr>
                      <w:rFonts w:hint="default"/>
                      <w:color w:val="auto"/>
                      <w:highlight w:val="none"/>
                      <w:lang w:val="zh-CN"/>
                    </w:rPr>
                    <w:t>清理方法：用化学清洗剂清洗或用沙掩埋。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0" w:type="dxa"/>
                  <w:noWrap/>
                  <w:vAlign w:val="center"/>
                </w:tcPr>
                <w:p>
                  <w:pPr>
                    <w:pStyle w:val="63"/>
                    <w:rPr>
                      <w:rFonts w:hint="default"/>
                      <w:color w:val="auto"/>
                      <w:highlight w:val="none"/>
                    </w:rPr>
                  </w:pPr>
                  <w:r>
                    <w:rPr>
                      <w:rFonts w:hint="default"/>
                      <w:color w:val="auto"/>
                      <w:highlight w:val="none"/>
                    </w:rPr>
                    <w:t>储运</w:t>
                  </w:r>
                </w:p>
              </w:tc>
              <w:tc>
                <w:tcPr>
                  <w:tcW w:w="7560" w:type="dxa"/>
                  <w:gridSpan w:val="10"/>
                  <w:noWrap/>
                  <w:vAlign w:val="center"/>
                </w:tcPr>
                <w:p>
                  <w:pPr>
                    <w:pStyle w:val="63"/>
                    <w:rPr>
                      <w:rFonts w:hint="default"/>
                      <w:color w:val="auto"/>
                      <w:highlight w:val="none"/>
                      <w:lang w:val="zh-CN"/>
                    </w:rPr>
                  </w:pPr>
                  <w:r>
                    <w:rPr>
                      <w:rFonts w:hint="default"/>
                      <w:color w:val="auto"/>
                      <w:highlight w:val="none"/>
                      <w:lang w:val="zh-CN"/>
                    </w:rPr>
                    <w:t>处置：防止有灰尘及杂物进入。</w:t>
                  </w:r>
                </w:p>
                <w:p>
                  <w:pPr>
                    <w:pStyle w:val="63"/>
                    <w:rPr>
                      <w:rFonts w:hint="default"/>
                      <w:color w:val="auto"/>
                      <w:highlight w:val="none"/>
                    </w:rPr>
                  </w:pPr>
                  <w:r>
                    <w:rPr>
                      <w:rFonts w:hint="default"/>
                      <w:color w:val="auto"/>
                      <w:highlight w:val="none"/>
                      <w:lang w:val="zh-CN"/>
                    </w:rPr>
                    <w:t>储存：置入室内环境，保持油品密封，不可与易燃易爆化学品摆放在一起。</w:t>
                  </w:r>
                </w:p>
              </w:tc>
            </w:tr>
          </w:tbl>
          <w:p>
            <w:pPr>
              <w:widowControl/>
              <w:ind w:left="0" w:leftChars="0" w:firstLine="0" w:firstLineChars="0"/>
              <w:rPr>
                <w:rFonts w:hint="default" w:ascii="Times New Roman" w:hAnsi="Times New Roman" w:eastAsia="宋体" w:cs="Times New Roman"/>
                <w:b/>
                <w:color w:val="auto"/>
                <w:kern w:val="2"/>
                <w:sz w:val="24"/>
                <w:szCs w:val="21"/>
                <w:highlight w:val="none"/>
                <w:lang w:val="en-US" w:eastAsia="zh-CN" w:bidi="ar-SA"/>
              </w:rPr>
            </w:pPr>
            <w:r>
              <w:rPr>
                <w:rFonts w:hint="default" w:ascii="Times New Roman" w:hAnsi="Times New Roman" w:eastAsia="宋体" w:cs="Times New Roman"/>
                <w:b/>
                <w:color w:val="auto"/>
                <w:kern w:val="2"/>
                <w:sz w:val="24"/>
                <w:szCs w:val="21"/>
                <w:highlight w:val="none"/>
                <w:lang w:val="en-US" w:eastAsia="zh-CN" w:bidi="ar-SA"/>
              </w:rPr>
              <w:t>6.2风险源分布情况及可能影响途径</w:t>
            </w:r>
          </w:p>
          <w:p>
            <w:pPr>
              <w:spacing w:line="360" w:lineRule="auto"/>
              <w:ind w:firstLine="480" w:firstLineChars="200"/>
              <w:rPr>
                <w:rFonts w:hint="default"/>
                <w:b/>
                <w:bCs/>
                <w:color w:val="auto"/>
                <w:highlight w:val="none"/>
              </w:rPr>
            </w:pPr>
            <w:r>
              <w:rPr>
                <w:rFonts w:hint="default"/>
                <w:color w:val="auto"/>
                <w:highlight w:val="none"/>
              </w:rPr>
              <w:t>本项目的主要危险物质为危险废物暂存间内的危废和各种化学品。具体分布及影响途径如下表：</w:t>
            </w:r>
          </w:p>
          <w:p>
            <w:pPr>
              <w:spacing w:line="240" w:lineRule="auto"/>
              <w:ind w:firstLine="482" w:firstLineChars="200"/>
              <w:jc w:val="center"/>
              <w:rPr>
                <w:rFonts w:hint="default"/>
                <w:b/>
                <w:bCs/>
                <w:color w:val="auto"/>
                <w:highlight w:val="none"/>
              </w:rPr>
            </w:pPr>
            <w:r>
              <w:rPr>
                <w:rFonts w:hint="default"/>
                <w:b/>
                <w:bCs/>
                <w:color w:val="auto"/>
                <w:highlight w:val="none"/>
              </w:rPr>
              <w:t>表</w:t>
            </w:r>
            <w:r>
              <w:rPr>
                <w:rFonts w:hint="eastAsia"/>
                <w:b/>
                <w:bCs/>
                <w:color w:val="auto"/>
                <w:highlight w:val="none"/>
                <w:lang w:val="en-US" w:eastAsia="zh-CN"/>
              </w:rPr>
              <w:t xml:space="preserve">4-15 </w:t>
            </w:r>
            <w:r>
              <w:rPr>
                <w:rFonts w:hint="default"/>
                <w:b/>
                <w:bCs/>
                <w:color w:val="auto"/>
                <w:highlight w:val="none"/>
              </w:rPr>
              <w:t>本项目风险物质具体分布及影响途径</w:t>
            </w:r>
          </w:p>
          <w:tbl>
            <w:tblPr>
              <w:tblStyle w:val="31"/>
              <w:tblW w:w="84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83"/>
              <w:gridCol w:w="1491"/>
              <w:gridCol w:w="1678"/>
              <w:gridCol w:w="1256"/>
              <w:gridCol w:w="1173"/>
              <w:gridCol w:w="597"/>
              <w:gridCol w:w="18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83" w:type="dxa"/>
                  <w:noWrap/>
                  <w:vAlign w:val="center"/>
                </w:tcPr>
                <w:p>
                  <w:pPr>
                    <w:pStyle w:val="63"/>
                    <w:rPr>
                      <w:rFonts w:hint="default" w:ascii="Times New Roman" w:hAnsi="Times New Roman" w:eastAsia="宋体" w:cs="Times New Roman"/>
                      <w:color w:val="auto"/>
                      <w:highlight w:val="none"/>
                      <w:lang w:val="zh-CN" w:eastAsia="zh-CN"/>
                    </w:rPr>
                  </w:pPr>
                  <w:r>
                    <w:rPr>
                      <w:rFonts w:hint="default" w:ascii="Times New Roman" w:hAnsi="Times New Roman" w:eastAsia="宋体" w:cs="Times New Roman"/>
                      <w:color w:val="auto"/>
                      <w:highlight w:val="none"/>
                      <w:lang w:val="zh-CN" w:eastAsia="zh-CN"/>
                    </w:rPr>
                    <w:t>序号</w:t>
                  </w:r>
                </w:p>
              </w:tc>
              <w:tc>
                <w:tcPr>
                  <w:tcW w:w="1491" w:type="dxa"/>
                  <w:noWrap/>
                  <w:vAlign w:val="center"/>
                </w:tcPr>
                <w:p>
                  <w:pPr>
                    <w:pStyle w:val="63"/>
                    <w:rPr>
                      <w:rFonts w:hint="default" w:ascii="Times New Roman" w:hAnsi="Times New Roman" w:eastAsia="宋体" w:cs="Times New Roman"/>
                      <w:color w:val="auto"/>
                      <w:highlight w:val="none"/>
                      <w:lang w:val="zh-CN" w:eastAsia="zh-CN"/>
                    </w:rPr>
                  </w:pPr>
                  <w:r>
                    <w:rPr>
                      <w:rFonts w:hint="default" w:ascii="Times New Roman" w:hAnsi="Times New Roman" w:eastAsia="宋体" w:cs="Times New Roman"/>
                      <w:color w:val="auto"/>
                      <w:highlight w:val="none"/>
                      <w:lang w:val="zh-CN" w:eastAsia="zh-CN"/>
                    </w:rPr>
                    <w:t>原料</w:t>
                  </w:r>
                </w:p>
              </w:tc>
              <w:tc>
                <w:tcPr>
                  <w:tcW w:w="1678" w:type="dxa"/>
                  <w:noWrap/>
                  <w:vAlign w:val="center"/>
                </w:tcPr>
                <w:p>
                  <w:pPr>
                    <w:pStyle w:val="63"/>
                    <w:rPr>
                      <w:rFonts w:hint="default" w:ascii="Times New Roman" w:hAnsi="Times New Roman" w:eastAsia="宋体" w:cs="Times New Roman"/>
                      <w:color w:val="auto"/>
                      <w:highlight w:val="none"/>
                      <w:lang w:val="zh-CN" w:eastAsia="zh-CN"/>
                    </w:rPr>
                  </w:pPr>
                  <w:r>
                    <w:rPr>
                      <w:rFonts w:hint="default" w:ascii="Times New Roman" w:hAnsi="Times New Roman" w:eastAsia="宋体" w:cs="Times New Roman"/>
                      <w:color w:val="auto"/>
                      <w:highlight w:val="none"/>
                      <w:lang w:val="zh-CN" w:eastAsia="zh-CN"/>
                    </w:rPr>
                    <w:t>最大贮存量（t/a）</w:t>
                  </w:r>
                </w:p>
              </w:tc>
              <w:tc>
                <w:tcPr>
                  <w:tcW w:w="1256" w:type="dxa"/>
                  <w:noWrap/>
                  <w:vAlign w:val="center"/>
                </w:tcPr>
                <w:p>
                  <w:pPr>
                    <w:pStyle w:val="63"/>
                    <w:rPr>
                      <w:rFonts w:hint="default" w:ascii="Times New Roman" w:hAnsi="Times New Roman" w:eastAsia="宋体" w:cs="Times New Roman"/>
                      <w:color w:val="auto"/>
                      <w:highlight w:val="none"/>
                      <w:lang w:val="zh-CN" w:eastAsia="zh-CN"/>
                    </w:rPr>
                  </w:pPr>
                  <w:r>
                    <w:rPr>
                      <w:rFonts w:hint="default" w:ascii="Times New Roman" w:hAnsi="Times New Roman" w:eastAsia="宋体" w:cs="Times New Roman"/>
                      <w:color w:val="auto"/>
                      <w:highlight w:val="none"/>
                      <w:lang w:val="en-US" w:eastAsia="zh-CN"/>
                    </w:rPr>
                    <w:t>临界量（t）</w:t>
                  </w:r>
                </w:p>
              </w:tc>
              <w:tc>
                <w:tcPr>
                  <w:tcW w:w="1173" w:type="dxa"/>
                  <w:noWrap/>
                  <w:vAlign w:val="center"/>
                </w:tcPr>
                <w:p>
                  <w:pPr>
                    <w:pStyle w:val="63"/>
                    <w:rPr>
                      <w:rFonts w:hint="default" w:ascii="Times New Roman" w:hAnsi="Times New Roman" w:eastAsia="宋体" w:cs="Times New Roman"/>
                      <w:color w:val="auto"/>
                      <w:highlight w:val="none"/>
                      <w:lang w:val="zh-CN" w:eastAsia="zh-CN"/>
                    </w:rPr>
                  </w:pPr>
                  <w:r>
                    <w:rPr>
                      <w:rFonts w:hint="default" w:ascii="Times New Roman" w:hAnsi="Times New Roman" w:eastAsia="宋体" w:cs="Times New Roman"/>
                      <w:color w:val="auto"/>
                      <w:highlight w:val="none"/>
                      <w:lang w:val="en-US" w:eastAsia="zh-CN"/>
                    </w:rPr>
                    <w:t>Q值</w:t>
                  </w:r>
                </w:p>
              </w:tc>
              <w:tc>
                <w:tcPr>
                  <w:tcW w:w="597" w:type="dxa"/>
                  <w:noWrap/>
                  <w:vAlign w:val="center"/>
                </w:tcPr>
                <w:p>
                  <w:pPr>
                    <w:pStyle w:val="39"/>
                    <w:bidi w:val="0"/>
                    <w:ind w:firstLine="0" w:firstLineChars="0"/>
                    <w:rPr>
                      <w:rFonts w:hint="default"/>
                      <w:color w:val="auto"/>
                      <w:highlight w:val="none"/>
                      <w:lang w:val="zh-CN"/>
                    </w:rPr>
                  </w:pPr>
                  <w:r>
                    <w:rPr>
                      <w:rFonts w:hint="default" w:ascii="Times New Roman" w:hAnsi="Times New Roman" w:eastAsia="宋体" w:cs="Times New Roman"/>
                      <w:color w:val="auto"/>
                      <w:highlight w:val="none"/>
                      <w:lang w:val="en-US" w:eastAsia="zh-CN"/>
                    </w:rPr>
                    <w:t>贮存场所</w:t>
                  </w:r>
                </w:p>
              </w:tc>
              <w:tc>
                <w:tcPr>
                  <w:tcW w:w="1852" w:type="dxa"/>
                  <w:noWrap/>
                  <w:vAlign w:val="center"/>
                </w:tcPr>
                <w:p>
                  <w:pPr>
                    <w:pStyle w:val="63"/>
                    <w:rPr>
                      <w:rFonts w:hint="default"/>
                      <w:color w:val="auto"/>
                      <w:highlight w:val="none"/>
                      <w:lang w:val="zh-CN"/>
                    </w:rPr>
                  </w:pPr>
                  <w:r>
                    <w:rPr>
                      <w:rFonts w:hint="default"/>
                      <w:color w:val="auto"/>
                      <w:highlight w:val="none"/>
                      <w:lang w:val="zh-CN"/>
                    </w:rPr>
                    <w:t>影响途径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83"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w:t>
                  </w:r>
                </w:p>
              </w:tc>
              <w:tc>
                <w:tcPr>
                  <w:tcW w:w="1491"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导轨油</w:t>
                  </w:r>
                </w:p>
              </w:tc>
              <w:tc>
                <w:tcPr>
                  <w:tcW w:w="1678"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0.19</w:t>
                  </w:r>
                </w:p>
              </w:tc>
              <w:tc>
                <w:tcPr>
                  <w:tcW w:w="1256" w:type="dxa"/>
                  <w:vMerge w:val="restart"/>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2500</w:t>
                  </w:r>
                </w:p>
              </w:tc>
              <w:tc>
                <w:tcPr>
                  <w:tcW w:w="1173"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0.000076</w:t>
                  </w:r>
                </w:p>
              </w:tc>
              <w:tc>
                <w:tcPr>
                  <w:tcW w:w="597" w:type="dxa"/>
                  <w:vMerge w:val="restart"/>
                  <w:noWrap/>
                  <w:vAlign w:val="center"/>
                </w:tcPr>
                <w:p>
                  <w:pPr>
                    <w:pStyle w:val="39"/>
                    <w:bidi w:val="0"/>
                    <w:ind w:firstLine="0" w:firstLineChars="0"/>
                    <w:rPr>
                      <w:rFonts w:hint="default"/>
                      <w:color w:val="auto"/>
                      <w:highlight w:val="none"/>
                      <w:lang w:val="en-US" w:eastAsia="zh-CN"/>
                    </w:rPr>
                  </w:pPr>
                  <w:r>
                    <w:rPr>
                      <w:rFonts w:hint="eastAsia"/>
                      <w:color w:val="auto"/>
                      <w:highlight w:val="none"/>
                      <w:lang w:val="en-US" w:eastAsia="zh-CN"/>
                    </w:rPr>
                    <w:t>车间</w:t>
                  </w:r>
                </w:p>
              </w:tc>
              <w:tc>
                <w:tcPr>
                  <w:tcW w:w="1852" w:type="dxa"/>
                  <w:vMerge w:val="restart"/>
                  <w:noWrap/>
                  <w:vAlign w:val="center"/>
                </w:tcPr>
                <w:p>
                  <w:pPr>
                    <w:pStyle w:val="63"/>
                    <w:rPr>
                      <w:rFonts w:hint="default"/>
                      <w:color w:val="auto"/>
                      <w:highlight w:val="none"/>
                      <w:lang w:val="zh-CN"/>
                    </w:rPr>
                  </w:pPr>
                  <w:r>
                    <w:rPr>
                      <w:rFonts w:hint="eastAsia" w:cs="Times New Roman"/>
                      <w:b w:val="0"/>
                      <w:color w:val="auto"/>
                      <w:kern w:val="2"/>
                      <w:sz w:val="21"/>
                      <w:szCs w:val="21"/>
                      <w:highlight w:val="none"/>
                      <w:lang w:val="en-US" w:eastAsia="zh-CN" w:bidi="ar-SA"/>
                    </w:rPr>
                    <w:t>泄漏、燃烧</w:t>
                  </w:r>
                  <w:r>
                    <w:rPr>
                      <w:rFonts w:hint="eastAsia"/>
                      <w:color w:val="auto"/>
                      <w:highlight w:val="none"/>
                      <w:lang w:val="en-US" w:eastAsia="zh-CN"/>
                    </w:rPr>
                    <w:t>可能对大气、地表水、地下水、土壤造成影响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83"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w:t>
                  </w:r>
                </w:p>
              </w:tc>
              <w:tc>
                <w:tcPr>
                  <w:tcW w:w="1491"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切削液</w:t>
                  </w:r>
                </w:p>
              </w:tc>
              <w:tc>
                <w:tcPr>
                  <w:tcW w:w="1678"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0.19</w:t>
                  </w:r>
                </w:p>
              </w:tc>
              <w:tc>
                <w:tcPr>
                  <w:tcW w:w="1256" w:type="dxa"/>
                  <w:vMerge w:val="continue"/>
                  <w:noWrap/>
                  <w:vAlign w:val="center"/>
                </w:tcPr>
                <w:p>
                  <w:pPr>
                    <w:pStyle w:val="63"/>
                    <w:rPr>
                      <w:rFonts w:hint="default" w:ascii="Times New Roman" w:hAnsi="Times New Roman" w:eastAsia="宋体" w:cs="Times New Roman"/>
                      <w:color w:val="auto"/>
                      <w:highlight w:val="none"/>
                      <w:lang w:val="zh-CN" w:eastAsia="zh-CN"/>
                    </w:rPr>
                  </w:pPr>
                </w:p>
              </w:tc>
              <w:tc>
                <w:tcPr>
                  <w:tcW w:w="1173" w:type="dxa"/>
                  <w:noWrap/>
                  <w:vAlign w:val="center"/>
                </w:tcPr>
                <w:p>
                  <w:pPr>
                    <w:pStyle w:val="63"/>
                    <w:rPr>
                      <w:rFonts w:hint="default" w:ascii="Times New Roman" w:hAnsi="Times New Roman" w:eastAsia="宋体" w:cs="Times New Roman"/>
                      <w:color w:val="auto"/>
                      <w:highlight w:val="none"/>
                      <w:lang w:val="zh-CN" w:eastAsia="zh-CN"/>
                    </w:rPr>
                  </w:pPr>
                  <w:r>
                    <w:rPr>
                      <w:rFonts w:hint="default" w:ascii="Times New Roman" w:hAnsi="Times New Roman" w:eastAsia="宋体" w:cs="Times New Roman"/>
                      <w:color w:val="auto"/>
                      <w:highlight w:val="none"/>
                      <w:lang w:val="en-US" w:eastAsia="zh-CN"/>
                    </w:rPr>
                    <w:t>0.000076</w:t>
                  </w:r>
                </w:p>
              </w:tc>
              <w:tc>
                <w:tcPr>
                  <w:tcW w:w="597" w:type="dxa"/>
                  <w:vMerge w:val="continue"/>
                  <w:noWrap/>
                  <w:vAlign w:val="center"/>
                </w:tcPr>
                <w:p>
                  <w:pPr>
                    <w:pStyle w:val="39"/>
                    <w:bidi w:val="0"/>
                    <w:ind w:firstLine="0" w:firstLineChars="0"/>
                    <w:rPr>
                      <w:rFonts w:hint="default"/>
                      <w:color w:val="auto"/>
                      <w:highlight w:val="none"/>
                      <w:lang w:val="zh-CN"/>
                    </w:rPr>
                  </w:pPr>
                </w:p>
              </w:tc>
              <w:tc>
                <w:tcPr>
                  <w:tcW w:w="1852" w:type="dxa"/>
                  <w:vMerge w:val="continue"/>
                  <w:noWrap/>
                  <w:vAlign w:val="center"/>
                </w:tcPr>
                <w:p>
                  <w:pPr>
                    <w:pStyle w:val="63"/>
                    <w:rPr>
                      <w:rFonts w:hint="default"/>
                      <w:color w:val="auto"/>
                      <w:highlight w:val="none"/>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83"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3</w:t>
                  </w:r>
                </w:p>
              </w:tc>
              <w:tc>
                <w:tcPr>
                  <w:tcW w:w="1491"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废切削液桶</w:t>
                  </w:r>
                </w:p>
              </w:tc>
              <w:tc>
                <w:tcPr>
                  <w:tcW w:w="1678"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0.06</w:t>
                  </w:r>
                </w:p>
              </w:tc>
              <w:tc>
                <w:tcPr>
                  <w:tcW w:w="1256" w:type="dxa"/>
                  <w:vMerge w:val="restart"/>
                  <w:noWrap/>
                  <w:vAlign w:val="center"/>
                </w:tcPr>
                <w:p>
                  <w:pPr>
                    <w:pStyle w:val="63"/>
                    <w:rPr>
                      <w:rFonts w:hint="default" w:ascii="Times New Roman" w:hAnsi="Times New Roman" w:eastAsia="宋体" w:cs="Times New Roman"/>
                      <w:color w:val="auto"/>
                      <w:highlight w:val="none"/>
                      <w:lang w:val="zh-CN" w:eastAsia="zh-CN"/>
                    </w:rPr>
                  </w:pPr>
                  <w:r>
                    <w:rPr>
                      <w:rFonts w:hint="default" w:ascii="Times New Roman" w:hAnsi="Times New Roman" w:eastAsia="宋体" w:cs="Times New Roman"/>
                      <w:color w:val="auto"/>
                      <w:highlight w:val="none"/>
                      <w:lang w:val="en-US" w:eastAsia="zh-CN"/>
                    </w:rPr>
                    <w:t>50</w:t>
                  </w:r>
                </w:p>
              </w:tc>
              <w:tc>
                <w:tcPr>
                  <w:tcW w:w="1173"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0.0012</w:t>
                  </w:r>
                </w:p>
              </w:tc>
              <w:tc>
                <w:tcPr>
                  <w:tcW w:w="597" w:type="dxa"/>
                  <w:vMerge w:val="restart"/>
                  <w:noWrap/>
                  <w:vAlign w:val="center"/>
                </w:tcPr>
                <w:p>
                  <w:pPr>
                    <w:pStyle w:val="63"/>
                    <w:rPr>
                      <w:rFonts w:hint="default"/>
                      <w:color w:val="auto"/>
                      <w:highlight w:val="none"/>
                      <w:lang w:val="zh-CN"/>
                    </w:rPr>
                  </w:pPr>
                  <w:r>
                    <w:rPr>
                      <w:rFonts w:hint="default" w:ascii="Times New Roman" w:hAnsi="Times New Roman" w:eastAsia="宋体" w:cs="Times New Roman"/>
                      <w:color w:val="auto"/>
                      <w:highlight w:val="none"/>
                      <w:lang w:val="en-US" w:eastAsia="zh-CN"/>
                    </w:rPr>
                    <w:t>危废间</w:t>
                  </w:r>
                </w:p>
              </w:tc>
              <w:tc>
                <w:tcPr>
                  <w:tcW w:w="1852" w:type="dxa"/>
                  <w:vMerge w:val="continue"/>
                  <w:noWrap/>
                  <w:vAlign w:val="center"/>
                </w:tcPr>
                <w:p>
                  <w:pPr>
                    <w:pStyle w:val="63"/>
                    <w:rPr>
                      <w:rFonts w:hint="default"/>
                      <w:color w:val="auto"/>
                      <w:highlight w:val="none"/>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83"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4</w:t>
                  </w:r>
                </w:p>
              </w:tc>
              <w:tc>
                <w:tcPr>
                  <w:tcW w:w="1491"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废导轨油桶</w:t>
                  </w:r>
                </w:p>
              </w:tc>
              <w:tc>
                <w:tcPr>
                  <w:tcW w:w="1678"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0.04</w:t>
                  </w:r>
                </w:p>
              </w:tc>
              <w:tc>
                <w:tcPr>
                  <w:tcW w:w="1256" w:type="dxa"/>
                  <w:vMerge w:val="continue"/>
                  <w:noWrap/>
                  <w:vAlign w:val="center"/>
                </w:tcPr>
                <w:p>
                  <w:pPr>
                    <w:pStyle w:val="63"/>
                    <w:rPr>
                      <w:rFonts w:hint="default" w:ascii="Times New Roman" w:hAnsi="Times New Roman" w:eastAsia="宋体" w:cs="Times New Roman"/>
                      <w:color w:val="auto"/>
                      <w:highlight w:val="none"/>
                      <w:lang w:val="zh-CN" w:eastAsia="zh-CN"/>
                    </w:rPr>
                  </w:pPr>
                </w:p>
              </w:tc>
              <w:tc>
                <w:tcPr>
                  <w:tcW w:w="1173"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0.0008</w:t>
                  </w:r>
                </w:p>
              </w:tc>
              <w:tc>
                <w:tcPr>
                  <w:tcW w:w="597" w:type="dxa"/>
                  <w:vMerge w:val="continue"/>
                  <w:noWrap/>
                  <w:vAlign w:val="center"/>
                </w:tcPr>
                <w:p>
                  <w:pPr>
                    <w:pStyle w:val="63"/>
                    <w:rPr>
                      <w:rFonts w:hint="default"/>
                      <w:color w:val="auto"/>
                      <w:highlight w:val="none"/>
                      <w:lang w:val="zh-CN"/>
                    </w:rPr>
                  </w:pPr>
                </w:p>
              </w:tc>
              <w:tc>
                <w:tcPr>
                  <w:tcW w:w="1852" w:type="dxa"/>
                  <w:vMerge w:val="continue"/>
                  <w:noWrap/>
                  <w:vAlign w:val="center"/>
                </w:tcPr>
                <w:p>
                  <w:pPr>
                    <w:pStyle w:val="63"/>
                    <w:rPr>
                      <w:rFonts w:hint="default"/>
                      <w:color w:val="auto"/>
                      <w:highlight w:val="none"/>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83"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5</w:t>
                  </w:r>
                </w:p>
              </w:tc>
              <w:tc>
                <w:tcPr>
                  <w:tcW w:w="1491"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废含切削液金属屑</w:t>
                  </w:r>
                </w:p>
              </w:tc>
              <w:tc>
                <w:tcPr>
                  <w:tcW w:w="1678"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26.67</w:t>
                  </w:r>
                </w:p>
              </w:tc>
              <w:tc>
                <w:tcPr>
                  <w:tcW w:w="1256" w:type="dxa"/>
                  <w:vMerge w:val="continue"/>
                  <w:noWrap/>
                  <w:vAlign w:val="center"/>
                </w:tcPr>
                <w:p>
                  <w:pPr>
                    <w:pStyle w:val="63"/>
                    <w:rPr>
                      <w:rFonts w:hint="default" w:ascii="Times New Roman" w:hAnsi="Times New Roman" w:eastAsia="宋体" w:cs="Times New Roman"/>
                      <w:color w:val="auto"/>
                      <w:highlight w:val="none"/>
                      <w:lang w:val="zh-CN" w:eastAsia="zh-CN"/>
                    </w:rPr>
                  </w:pPr>
                </w:p>
              </w:tc>
              <w:tc>
                <w:tcPr>
                  <w:tcW w:w="1173" w:type="dxa"/>
                  <w:noWrap/>
                  <w:vAlign w:val="center"/>
                </w:tcPr>
                <w:p>
                  <w:pPr>
                    <w:pStyle w:val="63"/>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0.5334</w:t>
                  </w:r>
                </w:p>
              </w:tc>
              <w:tc>
                <w:tcPr>
                  <w:tcW w:w="597" w:type="dxa"/>
                  <w:vMerge w:val="continue"/>
                  <w:noWrap/>
                  <w:vAlign w:val="center"/>
                </w:tcPr>
                <w:p>
                  <w:pPr>
                    <w:pStyle w:val="63"/>
                    <w:rPr>
                      <w:rFonts w:hint="default"/>
                      <w:color w:val="auto"/>
                      <w:highlight w:val="none"/>
                      <w:lang w:val="zh-CN"/>
                    </w:rPr>
                  </w:pPr>
                </w:p>
              </w:tc>
              <w:tc>
                <w:tcPr>
                  <w:tcW w:w="1852" w:type="dxa"/>
                  <w:vMerge w:val="continue"/>
                  <w:noWrap/>
                  <w:vAlign w:val="center"/>
                </w:tcPr>
                <w:p>
                  <w:pPr>
                    <w:pStyle w:val="63"/>
                    <w:rPr>
                      <w:rFonts w:hint="default"/>
                      <w:color w:val="auto"/>
                      <w:highlight w:val="none"/>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83" w:type="dxa"/>
                  <w:noWrap/>
                  <w:vAlign w:val="center"/>
                </w:tcPr>
                <w:p>
                  <w:pPr>
                    <w:pStyle w:val="63"/>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6</w:t>
                  </w:r>
                </w:p>
              </w:tc>
              <w:tc>
                <w:tcPr>
                  <w:tcW w:w="1491" w:type="dxa"/>
                  <w:noWrap/>
                  <w:vAlign w:val="center"/>
                </w:tcPr>
                <w:p>
                  <w:pPr>
                    <w:pStyle w:val="63"/>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废切削液</w:t>
                  </w:r>
                </w:p>
              </w:tc>
              <w:tc>
                <w:tcPr>
                  <w:tcW w:w="1678" w:type="dxa"/>
                  <w:noWrap/>
                  <w:vAlign w:val="center"/>
                </w:tcPr>
                <w:p>
                  <w:pPr>
                    <w:pStyle w:val="63"/>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0.05</w:t>
                  </w:r>
                </w:p>
              </w:tc>
              <w:tc>
                <w:tcPr>
                  <w:tcW w:w="1256" w:type="dxa"/>
                  <w:vMerge w:val="continue"/>
                  <w:noWrap/>
                  <w:vAlign w:val="center"/>
                </w:tcPr>
                <w:p>
                  <w:pPr>
                    <w:pStyle w:val="63"/>
                    <w:rPr>
                      <w:rFonts w:hint="default" w:ascii="Times New Roman" w:hAnsi="Times New Roman" w:eastAsia="宋体" w:cs="Times New Roman"/>
                      <w:color w:val="auto"/>
                      <w:highlight w:val="none"/>
                      <w:lang w:val="zh-CN" w:eastAsia="zh-CN"/>
                    </w:rPr>
                  </w:pPr>
                </w:p>
              </w:tc>
              <w:tc>
                <w:tcPr>
                  <w:tcW w:w="1173" w:type="dxa"/>
                  <w:noWrap/>
                  <w:vAlign w:val="center"/>
                </w:tcPr>
                <w:p>
                  <w:pPr>
                    <w:pStyle w:val="63"/>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0.001</w:t>
                  </w:r>
                </w:p>
              </w:tc>
              <w:tc>
                <w:tcPr>
                  <w:tcW w:w="597" w:type="dxa"/>
                  <w:vMerge w:val="continue"/>
                  <w:noWrap/>
                  <w:vAlign w:val="center"/>
                </w:tcPr>
                <w:p>
                  <w:pPr>
                    <w:pStyle w:val="63"/>
                    <w:rPr>
                      <w:rFonts w:hint="default"/>
                      <w:color w:val="auto"/>
                      <w:highlight w:val="none"/>
                      <w:lang w:val="zh-CN"/>
                    </w:rPr>
                  </w:pPr>
                </w:p>
              </w:tc>
              <w:tc>
                <w:tcPr>
                  <w:tcW w:w="1852" w:type="dxa"/>
                  <w:vMerge w:val="continue"/>
                  <w:noWrap/>
                  <w:vAlign w:val="center"/>
                </w:tcPr>
                <w:p>
                  <w:pPr>
                    <w:pStyle w:val="63"/>
                    <w:rPr>
                      <w:rFonts w:hint="default"/>
                      <w:color w:val="auto"/>
                      <w:highlight w:val="none"/>
                      <w:lang w:val="zh-CN"/>
                    </w:rPr>
                  </w:pPr>
                </w:p>
              </w:tc>
            </w:tr>
          </w:tbl>
          <w:p>
            <w:pPr>
              <w:widowControl/>
              <w:ind w:left="0" w:leftChars="0" w:firstLine="0" w:firstLineChars="0"/>
              <w:rPr>
                <w:rFonts w:hint="default" w:ascii="Times New Roman" w:hAnsi="Times New Roman" w:eastAsia="宋体" w:cs="Times New Roman"/>
                <w:b/>
                <w:color w:val="auto"/>
                <w:kern w:val="2"/>
                <w:sz w:val="24"/>
                <w:szCs w:val="21"/>
                <w:highlight w:val="none"/>
                <w:lang w:val="en-US" w:eastAsia="zh-CN" w:bidi="ar-SA"/>
              </w:rPr>
            </w:pPr>
            <w:r>
              <w:rPr>
                <w:rFonts w:hint="eastAsia" w:ascii="Times New Roman" w:hAnsi="Times New Roman" w:eastAsia="宋体" w:cs="Times New Roman"/>
                <w:b/>
                <w:color w:val="auto"/>
                <w:kern w:val="2"/>
                <w:sz w:val="24"/>
                <w:szCs w:val="21"/>
                <w:highlight w:val="none"/>
                <w:lang w:val="en-US" w:eastAsia="zh-CN" w:bidi="ar-SA"/>
              </w:rPr>
              <w:t>6</w:t>
            </w:r>
            <w:r>
              <w:rPr>
                <w:rFonts w:hint="default" w:ascii="Times New Roman" w:hAnsi="Times New Roman" w:eastAsia="宋体" w:cs="Times New Roman"/>
                <w:b/>
                <w:color w:val="auto"/>
                <w:kern w:val="2"/>
                <w:sz w:val="24"/>
                <w:szCs w:val="21"/>
                <w:highlight w:val="none"/>
                <w:lang w:val="en-US" w:eastAsia="zh-CN" w:bidi="ar-SA"/>
              </w:rPr>
              <w:t>.3防范措施</w:t>
            </w:r>
          </w:p>
          <w:p>
            <w:pPr>
              <w:keepNext w:val="0"/>
              <w:keepLines w:val="0"/>
              <w:pageBreakBefore w:val="0"/>
              <w:widowControl w:val="0"/>
              <w:numPr>
                <w:ilvl w:val="0"/>
                <w:numId w:val="2"/>
              </w:numPr>
              <w:kinsoku/>
              <w:wordWrap/>
              <w:overflowPunct/>
              <w:topLinePunct w:val="0"/>
              <w:autoSpaceDE/>
              <w:autoSpaceDN/>
              <w:bidi w:val="0"/>
              <w:adjustRightInd/>
              <w:snapToGrid/>
              <w:ind w:firstLine="48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现场应当有警戒标识；</w:t>
            </w:r>
          </w:p>
          <w:p>
            <w:pPr>
              <w:keepNext w:val="0"/>
              <w:keepLines w:val="0"/>
              <w:pageBreakBefore w:val="0"/>
              <w:widowControl w:val="0"/>
              <w:numPr>
                <w:ilvl w:val="0"/>
                <w:numId w:val="2"/>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设置专人保管，保管员要详细核对产品名称、规格、牌号、质量、数量、查清危险性质。遇有包装不良、质量异变、标号不符合等情况，应及时进行安全处理；</w:t>
            </w:r>
          </w:p>
          <w:p>
            <w:pPr>
              <w:keepNext w:val="0"/>
              <w:keepLines w:val="0"/>
              <w:pageBreakBefore w:val="0"/>
              <w:widowControl w:val="0"/>
              <w:numPr>
                <w:ilvl w:val="0"/>
                <w:numId w:val="2"/>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避免无任何防护措施直接接触、工作区域保持良好通风状态；</w:t>
            </w:r>
          </w:p>
          <w:p>
            <w:pPr>
              <w:keepNext w:val="0"/>
              <w:keepLines w:val="0"/>
              <w:pageBreakBefore w:val="0"/>
              <w:widowControl w:val="0"/>
              <w:numPr>
                <w:ilvl w:val="0"/>
                <w:numId w:val="2"/>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color w:val="auto"/>
                <w:highlight w:val="none"/>
              </w:rPr>
            </w:pPr>
            <w:r>
              <w:rPr>
                <w:rFonts w:hint="default"/>
                <w:color w:val="auto"/>
                <w:highlight w:val="none"/>
              </w:rPr>
              <w:t>危险废物不可随意排放，避免高温储存（室温条件即可）</w:t>
            </w:r>
            <w:r>
              <w:rPr>
                <w:rFonts w:hint="eastAsia"/>
                <w:color w:val="auto"/>
                <w:highlight w:val="none"/>
                <w:lang w:eastAsia="zh-CN"/>
              </w:rPr>
              <w:t>；</w:t>
            </w:r>
            <w:r>
              <w:rPr>
                <w:rFonts w:hint="default" w:ascii="Times New Roman" w:hAnsi="Times New Roman" w:cs="Times New Roman"/>
                <w:color w:val="auto"/>
                <w:highlight w:val="none"/>
              </w:rPr>
              <w:t>不同品种危险废物分别存放在不同容器中（密封桶），不得混合，确保包装完整，不渗漏，外包装标明“请勿倒置”的字样；</w:t>
            </w:r>
            <w:r>
              <w:rPr>
                <w:rFonts w:hint="default" w:ascii="Times New Roman" w:hAnsi="Times New Roman" w:cs="Times New Roman"/>
                <w:color w:val="auto"/>
                <w:highlight w:val="none"/>
                <w:lang w:val="en-US" w:eastAsia="zh-CN"/>
              </w:rPr>
              <w:t>容器包装要密闭，完整无损、放置处防火防高温；</w:t>
            </w:r>
            <w:r>
              <w:rPr>
                <w:rFonts w:hint="default" w:ascii="Times New Roman" w:hAnsi="Times New Roman" w:cs="Times New Roman"/>
                <w:color w:val="auto"/>
                <w:highlight w:val="none"/>
              </w:rPr>
              <w:t>危废暂存间地面进行防腐防渗，并设置堵截渗漏的裙脚；</w:t>
            </w:r>
          </w:p>
          <w:p>
            <w:pPr>
              <w:keepNext w:val="0"/>
              <w:keepLines w:val="0"/>
              <w:pageBreakBefore w:val="0"/>
              <w:widowControl w:val="0"/>
              <w:numPr>
                <w:ilvl w:val="0"/>
                <w:numId w:val="2"/>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厂区内禁止吸烟，严禁明火作业；</w:t>
            </w:r>
          </w:p>
          <w:p>
            <w:pPr>
              <w:keepNext w:val="0"/>
              <w:keepLines w:val="0"/>
              <w:pageBreakBefore w:val="0"/>
              <w:widowControl w:val="0"/>
              <w:numPr>
                <w:ilvl w:val="0"/>
                <w:numId w:val="2"/>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进行定期和不定期的安全检查，查出隐患，要及时整改和上报。如发现不安全的紧急情况，应先停止工作，再报有关部门研究处理；</w:t>
            </w:r>
          </w:p>
          <w:p>
            <w:pPr>
              <w:keepNext w:val="0"/>
              <w:keepLines w:val="0"/>
              <w:pageBreakBefore w:val="0"/>
              <w:widowControl w:val="0"/>
              <w:numPr>
                <w:ilvl w:val="0"/>
                <w:numId w:val="2"/>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各种安全防护装置设备要定期检查，不得随意拆除和非法占用；</w:t>
            </w:r>
          </w:p>
          <w:p>
            <w:pPr>
              <w:keepNext w:val="0"/>
              <w:keepLines w:val="0"/>
              <w:pageBreakBefore w:val="0"/>
              <w:widowControl w:val="0"/>
              <w:numPr>
                <w:ilvl w:val="0"/>
                <w:numId w:val="2"/>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危废间做好防渗防漏措施，各个危险物质分类存放，且设置钢板托盘，防止泄</w:t>
            </w:r>
            <w:r>
              <w:rPr>
                <w:rFonts w:hint="eastAsia" w:cs="Times New Roman"/>
                <w:color w:val="auto"/>
                <w:highlight w:val="none"/>
                <w:lang w:val="en-US" w:eastAsia="zh-CN"/>
              </w:rPr>
              <w:t>漏</w:t>
            </w:r>
            <w:r>
              <w:rPr>
                <w:rFonts w:hint="default" w:ascii="Times New Roman" w:hAnsi="Times New Roman" w:cs="Times New Roman"/>
                <w:color w:val="auto"/>
                <w:highlight w:val="none"/>
                <w:lang w:val="en-US" w:eastAsia="zh-CN"/>
              </w:rPr>
              <w:t>。</w:t>
            </w:r>
          </w:p>
          <w:p>
            <w:pPr>
              <w:keepNext w:val="0"/>
              <w:keepLines w:val="0"/>
              <w:pageBreakBefore w:val="0"/>
              <w:widowControl w:val="0"/>
              <w:numPr>
                <w:ilvl w:val="0"/>
                <w:numId w:val="2"/>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编制应急预案并备案。</w:t>
            </w:r>
          </w:p>
          <w:p>
            <w:pPr>
              <w:keepNext w:val="0"/>
              <w:keepLines w:val="0"/>
              <w:pageBreakBefore w:val="0"/>
              <w:widowControl w:val="0"/>
              <w:numPr>
                <w:ilvl w:val="0"/>
                <w:numId w:val="2"/>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应急要求</w:t>
            </w:r>
          </w:p>
          <w:p>
            <w:pPr>
              <w:numPr>
                <w:ilvl w:val="0"/>
                <w:numId w:val="0"/>
              </w:numPr>
              <w:bidi w:val="0"/>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企业应根据环保部门相关要求编制应急预案，应急预案基本内容应包括（但不限于）以下内容：</w:t>
            </w:r>
          </w:p>
          <w:p>
            <w:pPr>
              <w:adjustRightInd w:val="0"/>
              <w:snapToGrid w:val="0"/>
              <w:spacing w:line="360" w:lineRule="exact"/>
              <w:ind w:firstLine="482"/>
              <w:jc w:val="center"/>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表</w:t>
            </w:r>
            <w:r>
              <w:rPr>
                <w:rFonts w:hint="default" w:ascii="Times New Roman" w:hAnsi="Times New Roman" w:cs="Times New Roman"/>
                <w:b/>
                <w:color w:val="auto"/>
                <w:szCs w:val="21"/>
                <w:highlight w:val="none"/>
                <w:lang w:val="en-US" w:eastAsia="zh-CN"/>
              </w:rPr>
              <w:t>4-</w:t>
            </w:r>
            <w:r>
              <w:rPr>
                <w:rFonts w:hint="eastAsia" w:ascii="Times New Roman" w:hAnsi="Times New Roman" w:cs="Times New Roman"/>
                <w:b/>
                <w:color w:val="auto"/>
                <w:szCs w:val="21"/>
                <w:highlight w:val="none"/>
                <w:lang w:val="en-US" w:eastAsia="zh-CN"/>
              </w:rPr>
              <w:t>1</w:t>
            </w:r>
            <w:r>
              <w:rPr>
                <w:rFonts w:hint="eastAsia" w:cs="Times New Roman"/>
                <w:b/>
                <w:color w:val="auto"/>
                <w:szCs w:val="21"/>
                <w:highlight w:val="none"/>
                <w:lang w:val="en-US" w:eastAsia="zh-CN"/>
              </w:rPr>
              <w:t>6</w:t>
            </w:r>
            <w:r>
              <w:rPr>
                <w:rFonts w:hint="default" w:ascii="Times New Roman" w:hAnsi="Times New Roman" w:cs="Times New Roman"/>
                <w:b/>
                <w:color w:val="auto"/>
                <w:szCs w:val="21"/>
                <w:highlight w:val="none"/>
              </w:rPr>
              <w:t xml:space="preserve"> 应急预案基本内容</w:t>
            </w:r>
          </w:p>
          <w:tbl>
            <w:tblPr>
              <w:tblStyle w:val="31"/>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679"/>
              <w:gridCol w:w="1828"/>
              <w:gridCol w:w="5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序号</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项目</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内容及要求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总则</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应急预案总体说明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危险源概况</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详述危险源类型、数量及其分布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3</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应急计划区</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车间</w:t>
                  </w:r>
                  <w:r>
                    <w:rPr>
                      <w:rFonts w:hint="default" w:ascii="Times New Roman" w:hAnsi="Times New Roman" w:eastAsia="宋体" w:cs="Times New Roman"/>
                      <w:color w:val="auto"/>
                      <w:highlight w:val="none"/>
                      <w:lang w:val="en-US" w:eastAsia="zh-CN"/>
                    </w:rPr>
                    <w:t>、危废间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4</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应急组织</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公司设置应急组织机构，设置有应急办主任、副主任，为应急计划、协调第一人，应急人员必须为培训上岗熟练工；区域应急组织结构由当地政府、相关行业专家、卫生安全相关单位组成，并由当地政府进行统一调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5</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预案分级响应条件</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规定事故的级别及响应的应急分类响应程序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6</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应急响应行动</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zh-CN" w:eastAsia="zh-CN"/>
                    </w:rPr>
                  </w:pPr>
                  <w:r>
                    <w:rPr>
                      <w:rFonts w:hint="default" w:ascii="Times New Roman" w:hAnsi="Times New Roman" w:eastAsia="宋体" w:cs="Times New Roman"/>
                      <w:color w:val="auto"/>
                      <w:highlight w:val="none"/>
                      <w:lang w:val="zh-CN" w:eastAsia="zh-CN"/>
                    </w:rPr>
                    <w:t>根据突发事件级别明确预案启动级别和条件，明确响应主体、指挥机构工作职责、权限和要求，阐明应急响应及处置过程等。对于跨国（境）、跨区域、跨部门的突发事件，可针对实际情况列举不同措施，同时避免可能造成的次生、衍生和耦合事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7</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应急处置</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zh-CN" w:eastAsia="zh-CN"/>
                    </w:rPr>
                    <w:t>制定详细、科学的突发事件应对处置方案、处置措施，明确各级指挥机构调派应急队伍的数量及处置措施，队伍集中、部署的方式，设备器材、物资药品的调用程序，各应急队伍之间协作程序等。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应急救援保障</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防火灾、爆炸事故应急设施、设备与材料，主要为消防器材。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9</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应急通讯、通知和交通</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规定应急状态下的通讯方式、通知方式和交通保障、管制。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10</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应急环境监测及事故后评估</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由专业队伍负责对事故现场进行侦查监测，对事故性质，参数与后果进行评估，为指挥部门提供决策依据。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11</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应急保护措施、清除泄漏措施方法和器材</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事故现场：控制事故、防止扩大、蔓延及连锁反应。清除现场泄漏物，降低危害，相应的设施器材配备。</w:t>
                  </w:r>
                </w:p>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邻近区域：控制防火区域，控制和清除污染措施及相应设备配备。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12</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应急剂量控制、撤离组织计划、医疗救护与公众健康</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事故现场：事故处理人员对毒物的应急剂量控制制定，现场及临近装置人员撤离组织计划及救护。</w:t>
                  </w:r>
                </w:p>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邻近区域：受事故影响的邻近区域人员及公众对毒物应急剂量控制规定，撤离组织计划及救护。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13</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应急状态终止与恢复措施</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规定应急状态终止程序，事故现场善后处理，恢复措施，邻近区域解除事故警戒及善后恢复措施。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14</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人员培训与演练</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应急计划制定后，平时安排人员培训与演练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15</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公众教育和信息</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对企业临近地区开展公众教育、培训和发布有关信息。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16</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记录和报告</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设置应急事故专门记录，建</w:t>
                  </w:r>
                  <w:r>
                    <w:rPr>
                      <w:rFonts w:hint="eastAsia" w:ascii="Times New Roman" w:hAnsi="Times New Roman" w:cs="Times New Roman"/>
                      <w:color w:val="auto"/>
                      <w:highlight w:val="none"/>
                      <w:lang w:val="en-US" w:eastAsia="zh-CN"/>
                    </w:rPr>
                    <w:t>立</w:t>
                  </w:r>
                  <w:r>
                    <w:rPr>
                      <w:rFonts w:hint="default" w:ascii="Times New Roman" w:hAnsi="Times New Roman" w:eastAsia="宋体" w:cs="Times New Roman"/>
                      <w:color w:val="auto"/>
                      <w:highlight w:val="none"/>
                      <w:lang w:val="en-US" w:eastAsia="zh-CN"/>
                    </w:rPr>
                    <w:t>档案和专门报告制度，设专门部门负责管理。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17</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名词术语解释</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预案中专用名词、术语、编写语和编码的定义，说明突发事件类别、等级以及对应的指标定义，统一信息技术、行动方案和机关术语等编码情况。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18</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预案管理和更新</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预案应定期进行修订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19</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预案解释部门</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明确预案批准、印发机关和解释部门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20</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预案实施事件</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明确预案实施或生效时间，一般从印发之日起实施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6"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21</w:t>
                  </w:r>
                </w:p>
              </w:tc>
              <w:tc>
                <w:tcPr>
                  <w:tcW w:w="1094"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附件</w:t>
                  </w:r>
                </w:p>
              </w:tc>
              <w:tc>
                <w:tcPr>
                  <w:tcW w:w="3498" w:type="pct"/>
                  <w:noWrap w:val="0"/>
                  <w:vAlign w:val="center"/>
                </w:tcPr>
                <w:p>
                  <w:pPr>
                    <w:pStyle w:val="39"/>
                    <w:bidi w:val="0"/>
                    <w:ind w:firstLine="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与应急事故有关的多种附件材料的准备。</w:t>
                  </w:r>
                </w:p>
              </w:tc>
            </w:tr>
          </w:tbl>
          <w:p>
            <w:pPr>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建设单位应进一步加强环境事件应急管理制度建设，加强危废间管理人员环境风险安全教育，增强风险意识，严格规范作业流程可有效避免或降低环境风险事件的发生。</w:t>
            </w:r>
          </w:p>
          <w:p>
            <w:pPr>
              <w:widowControl/>
              <w:ind w:left="0" w:leftChars="0" w:firstLine="0" w:firstLineChars="0"/>
              <w:rPr>
                <w:rFonts w:hint="default" w:ascii="Times New Roman" w:hAnsi="Times New Roman" w:eastAsia="宋体" w:cs="Times New Roman"/>
                <w:b/>
                <w:color w:val="auto"/>
                <w:kern w:val="2"/>
                <w:sz w:val="24"/>
                <w:szCs w:val="21"/>
                <w:highlight w:val="none"/>
                <w:lang w:val="en-US" w:eastAsia="zh-CN" w:bidi="ar-SA"/>
              </w:rPr>
            </w:pPr>
            <w:r>
              <w:rPr>
                <w:rFonts w:hint="default" w:ascii="Times New Roman" w:hAnsi="Times New Roman" w:eastAsia="宋体" w:cs="Times New Roman"/>
                <w:b/>
                <w:color w:val="auto"/>
                <w:kern w:val="2"/>
                <w:sz w:val="24"/>
                <w:szCs w:val="21"/>
                <w:highlight w:val="none"/>
                <w:lang w:val="en-US" w:eastAsia="zh-CN" w:bidi="ar-SA"/>
              </w:rPr>
              <w:t>6.4风险潜势初判</w:t>
            </w:r>
          </w:p>
          <w:p>
            <w:pPr>
              <w:autoSpaceDE w:val="0"/>
              <w:autoSpaceDN w:val="0"/>
              <w:snapToGrid w:val="0"/>
              <w:spacing w:line="360" w:lineRule="auto"/>
              <w:ind w:firstLine="480" w:firstLineChars="200"/>
              <w:rPr>
                <w:rFonts w:hint="default"/>
                <w:color w:val="auto"/>
                <w:highlight w:val="none"/>
              </w:rPr>
            </w:pPr>
            <w:r>
              <w:rPr>
                <w:rFonts w:hint="default" w:ascii="Times New Roman" w:hAnsi="Times New Roman" w:cs="Times New Roman"/>
                <w:color w:val="auto"/>
                <w:highlight w:val="none"/>
                <w:lang w:val="en-US" w:eastAsia="zh-CN"/>
              </w:rPr>
              <w:t>Q总=0.000076</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0.000076</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0.0012</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0.0008</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0.5334</w:t>
            </w:r>
            <w:r>
              <w:rPr>
                <w:rFonts w:hint="eastAsia" w:cs="Times New Roman"/>
                <w:color w:val="auto"/>
                <w:highlight w:val="none"/>
                <w:lang w:val="en-US" w:eastAsia="zh-CN"/>
              </w:rPr>
              <w:t>+0.001</w:t>
            </w:r>
            <w:r>
              <w:rPr>
                <w:rFonts w:hint="eastAsia" w:ascii="Times New Roman" w:hAnsi="Times New Roman" w:cs="Times New Roman"/>
                <w:color w:val="auto"/>
                <w:highlight w:val="none"/>
                <w:lang w:val="en-US" w:eastAsia="zh-CN"/>
              </w:rPr>
              <w:t>=0.</w:t>
            </w:r>
            <w:r>
              <w:rPr>
                <w:rFonts w:hint="eastAsia" w:cs="Times New Roman"/>
                <w:color w:val="auto"/>
                <w:highlight w:val="none"/>
                <w:lang w:val="en-US" w:eastAsia="zh-CN"/>
              </w:rPr>
              <w:t>536552</w:t>
            </w:r>
            <w:r>
              <w:rPr>
                <w:rFonts w:hint="default" w:ascii="Times New Roman" w:hAnsi="Times New Roman" w:cs="Times New Roman"/>
                <w:color w:val="auto"/>
                <w:highlight w:val="none"/>
                <w:lang w:val="en-US" w:eastAsia="zh-CN"/>
              </w:rPr>
              <w:t>＜1，所以本项目风险潜势为I级，本项目环境风险进行简单分析</w:t>
            </w:r>
            <w:r>
              <w:rPr>
                <w:rFonts w:hint="default"/>
                <w:color w:val="auto"/>
                <w:highlight w:val="none"/>
              </w:rPr>
              <w:t>。</w:t>
            </w:r>
          </w:p>
          <w:p>
            <w:pPr>
              <w:widowControl/>
              <w:ind w:left="0" w:leftChars="0" w:firstLine="0" w:firstLineChars="0"/>
              <w:rPr>
                <w:rFonts w:hint="default"/>
                <w:b/>
                <w:bCs/>
                <w:color w:val="auto"/>
                <w:highlight w:val="none"/>
              </w:rPr>
            </w:pPr>
            <w:r>
              <w:rPr>
                <w:rFonts w:hint="default" w:ascii="Times New Roman" w:hAnsi="Times New Roman" w:eastAsia="宋体" w:cs="Times New Roman"/>
                <w:b/>
                <w:color w:val="auto"/>
                <w:kern w:val="2"/>
                <w:sz w:val="24"/>
                <w:szCs w:val="21"/>
                <w:highlight w:val="none"/>
                <w:lang w:val="en-US" w:eastAsia="zh-CN" w:bidi="ar-SA"/>
              </w:rPr>
              <w:t>6.5环境风险简单分析</w:t>
            </w:r>
          </w:p>
          <w:p>
            <w:pPr>
              <w:spacing w:line="240" w:lineRule="auto"/>
              <w:ind w:firstLine="482" w:firstLineChars="200"/>
              <w:jc w:val="center"/>
              <w:rPr>
                <w:rFonts w:hint="default"/>
                <w:b/>
                <w:bCs/>
                <w:color w:val="auto"/>
                <w:highlight w:val="none"/>
              </w:rPr>
            </w:pPr>
            <w:r>
              <w:rPr>
                <w:rFonts w:hint="default"/>
                <w:b/>
                <w:bCs/>
                <w:color w:val="auto"/>
                <w:highlight w:val="none"/>
              </w:rPr>
              <w:t>表</w:t>
            </w:r>
            <w:r>
              <w:rPr>
                <w:rFonts w:hint="eastAsia"/>
                <w:b/>
                <w:bCs/>
                <w:color w:val="auto"/>
                <w:highlight w:val="none"/>
                <w:lang w:val="en-US" w:eastAsia="zh-CN"/>
              </w:rPr>
              <w:t xml:space="preserve">4-17 </w:t>
            </w:r>
            <w:r>
              <w:rPr>
                <w:rFonts w:hint="default"/>
                <w:b/>
                <w:bCs/>
                <w:color w:val="auto"/>
                <w:highlight w:val="none"/>
              </w:rPr>
              <w:t>建设项目环境风险简单分析内容表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6"/>
              <w:gridCol w:w="7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52" w:type="pct"/>
                  <w:noWrap/>
                  <w:vAlign w:val="center"/>
                </w:tcPr>
                <w:p>
                  <w:pPr>
                    <w:pStyle w:val="63"/>
                    <w:ind w:firstLine="0" w:firstLineChars="0"/>
                    <w:rPr>
                      <w:rFonts w:hint="eastAsia"/>
                      <w:color w:val="auto"/>
                      <w:highlight w:val="none"/>
                      <w:lang w:val="en-US" w:eastAsia="zh-CN"/>
                    </w:rPr>
                  </w:pPr>
                  <w:r>
                    <w:rPr>
                      <w:rFonts w:hint="eastAsia"/>
                      <w:color w:val="auto"/>
                      <w:highlight w:val="none"/>
                      <w:lang w:val="en-US" w:eastAsia="zh-CN"/>
                    </w:rPr>
                    <w:t>建设项目名称</w:t>
                  </w:r>
                </w:p>
              </w:tc>
              <w:tc>
                <w:tcPr>
                  <w:tcW w:w="4247" w:type="pct"/>
                  <w:noWrap/>
                  <w:vAlign w:val="center"/>
                </w:tcPr>
                <w:p>
                  <w:pPr>
                    <w:pStyle w:val="63"/>
                    <w:ind w:firstLine="0" w:firstLineChars="0"/>
                    <w:rPr>
                      <w:rFonts w:hint="eastAsia"/>
                      <w:color w:val="auto"/>
                      <w:highlight w:val="none"/>
                      <w:lang w:val="en-US" w:eastAsia="zh-CN"/>
                    </w:rPr>
                  </w:pPr>
                  <w:r>
                    <w:rPr>
                      <w:rFonts w:hint="eastAsia" w:cs="Times New Roman"/>
                      <w:color w:val="auto"/>
                      <w:highlight w:val="none"/>
                      <w:lang w:val="en-US" w:eastAsia="zh-CN"/>
                    </w:rPr>
                    <w:t>钢板、轮毂及铝制品加工生产项目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52" w:type="pct"/>
                  <w:noWrap/>
                  <w:vAlign w:val="center"/>
                </w:tcPr>
                <w:p>
                  <w:pPr>
                    <w:pStyle w:val="63"/>
                    <w:ind w:firstLine="0" w:firstLineChars="0"/>
                    <w:rPr>
                      <w:rFonts w:hint="eastAsia"/>
                      <w:color w:val="auto"/>
                      <w:highlight w:val="none"/>
                      <w:lang w:val="en-US" w:eastAsia="zh-CN"/>
                    </w:rPr>
                  </w:pPr>
                  <w:r>
                    <w:rPr>
                      <w:rFonts w:hint="eastAsia"/>
                      <w:color w:val="auto"/>
                      <w:highlight w:val="none"/>
                      <w:lang w:val="en-US" w:eastAsia="zh-CN"/>
                    </w:rPr>
                    <w:t>建设地点</w:t>
                  </w:r>
                </w:p>
              </w:tc>
              <w:tc>
                <w:tcPr>
                  <w:tcW w:w="4247" w:type="pct"/>
                  <w:noWrap/>
                  <w:vAlign w:val="center"/>
                </w:tcPr>
                <w:p>
                  <w:pPr>
                    <w:pStyle w:val="63"/>
                    <w:ind w:firstLine="0" w:firstLineChars="0"/>
                    <w:rPr>
                      <w:rFonts w:hint="eastAsia"/>
                      <w:color w:val="auto"/>
                      <w:highlight w:val="none"/>
                      <w:lang w:val="en-US" w:eastAsia="zh-CN"/>
                    </w:rPr>
                  </w:pPr>
                  <w:r>
                    <w:rPr>
                      <w:rFonts w:hint="eastAsia"/>
                      <w:color w:val="auto"/>
                      <w:highlight w:val="none"/>
                      <w:lang w:val="en-US" w:eastAsia="zh-CN"/>
                    </w:rPr>
                    <w:t>秦皇岛经济技术开发区天山北路8号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52" w:type="pct"/>
                  <w:noWrap/>
                  <w:vAlign w:val="center"/>
                </w:tcPr>
                <w:p>
                  <w:pPr>
                    <w:pStyle w:val="63"/>
                    <w:ind w:firstLine="0" w:firstLineChars="0"/>
                    <w:rPr>
                      <w:rFonts w:hint="eastAsia"/>
                      <w:color w:val="auto"/>
                      <w:highlight w:val="none"/>
                      <w:lang w:val="en-US" w:eastAsia="zh-CN"/>
                    </w:rPr>
                  </w:pPr>
                  <w:r>
                    <w:rPr>
                      <w:rFonts w:hint="eastAsia"/>
                      <w:color w:val="auto"/>
                      <w:highlight w:val="none"/>
                      <w:lang w:val="en-US" w:eastAsia="zh-CN"/>
                    </w:rPr>
                    <w:t>地理坐标</w:t>
                  </w:r>
                </w:p>
              </w:tc>
              <w:tc>
                <w:tcPr>
                  <w:tcW w:w="4247" w:type="pct"/>
                  <w:noWrap/>
                  <w:vAlign w:val="center"/>
                </w:tcPr>
                <w:p>
                  <w:pPr>
                    <w:pStyle w:val="63"/>
                    <w:ind w:firstLine="0" w:firstLineChars="0"/>
                    <w:rPr>
                      <w:rFonts w:hint="eastAsia"/>
                      <w:color w:val="auto"/>
                      <w:highlight w:val="none"/>
                      <w:lang w:val="en-US" w:eastAsia="zh-CN"/>
                    </w:rPr>
                  </w:pPr>
                  <w:r>
                    <w:rPr>
                      <w:rFonts w:hint="default" w:ascii="Times New Roman" w:hAnsi="Times New Roman" w:eastAsia="宋体" w:cs="Times New Roman"/>
                      <w:color w:val="auto"/>
                      <w:highlight w:val="none"/>
                      <w:lang w:val="en-US" w:eastAsia="zh-CN"/>
                    </w:rPr>
                    <w:t>北纬39°55′48.56</w:t>
                  </w:r>
                  <w:r>
                    <w:rPr>
                      <w:rFonts w:hint="eastAsia" w:ascii="Times New Roman" w:hAnsi="Times New Roman" w:eastAsia="宋体" w:cs="Times New Roman"/>
                      <w:color w:val="auto"/>
                      <w:highlight w:val="none"/>
                      <w:lang w:val="en-US" w:eastAsia="zh-CN"/>
                    </w:rPr>
                    <w:t>3</w:t>
                  </w:r>
                  <w:r>
                    <w:rPr>
                      <w:rFonts w:hint="default" w:ascii="Times New Roman" w:hAnsi="Times New Roman" w:eastAsia="宋体" w:cs="Times New Roman"/>
                      <w:color w:val="auto"/>
                      <w:highlight w:val="none"/>
                      <w:lang w:val="en-US" w:eastAsia="zh-CN"/>
                    </w:rPr>
                    <w:t>″、东经119°30′21.54</w:t>
                  </w:r>
                  <w:r>
                    <w:rPr>
                      <w:rFonts w:hint="eastAsia" w:ascii="Times New Roman" w:hAnsi="Times New Roman" w:eastAsia="宋体" w:cs="Times New Roman"/>
                      <w:color w:val="auto"/>
                      <w:highlight w:val="none"/>
                      <w:lang w:val="en-US" w:eastAsia="zh-CN"/>
                    </w:rPr>
                    <w:t>7</w:t>
                  </w:r>
                  <w:r>
                    <w:rPr>
                      <w:rFonts w:hint="default" w:ascii="Times New Roman" w:hAnsi="Times New Roman" w:eastAsia="宋体" w:cs="Times New Roman"/>
                      <w:color w:val="auto"/>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52" w:type="pct"/>
                  <w:noWrap/>
                  <w:vAlign w:val="center"/>
                </w:tcPr>
                <w:p>
                  <w:pPr>
                    <w:pStyle w:val="63"/>
                    <w:ind w:firstLine="0" w:firstLineChars="0"/>
                    <w:rPr>
                      <w:rFonts w:hint="eastAsia"/>
                      <w:color w:val="auto"/>
                      <w:highlight w:val="none"/>
                      <w:lang w:val="en-US" w:eastAsia="zh-CN"/>
                    </w:rPr>
                  </w:pPr>
                  <w:r>
                    <w:rPr>
                      <w:rFonts w:hint="eastAsia"/>
                      <w:color w:val="auto"/>
                      <w:highlight w:val="none"/>
                      <w:lang w:val="en-US" w:eastAsia="zh-CN"/>
                    </w:rPr>
                    <w:t>主要危险物质及分布</w:t>
                  </w:r>
                </w:p>
              </w:tc>
              <w:tc>
                <w:tcPr>
                  <w:tcW w:w="4247" w:type="pct"/>
                  <w:noWrap/>
                  <w:vAlign w:val="center"/>
                </w:tcPr>
                <w:p>
                  <w:pPr>
                    <w:pStyle w:val="63"/>
                    <w:ind w:firstLine="0" w:firstLineChars="0"/>
                    <w:rPr>
                      <w:rFonts w:hint="eastAsia"/>
                      <w:color w:val="auto"/>
                      <w:highlight w:val="none"/>
                      <w:lang w:val="en-US" w:eastAsia="zh-CN"/>
                    </w:rPr>
                  </w:pPr>
                  <w:r>
                    <w:rPr>
                      <w:rFonts w:hint="eastAsia"/>
                      <w:color w:val="auto"/>
                      <w:highlight w:val="none"/>
                      <w:lang w:val="en-US" w:eastAsia="zh-CN"/>
                    </w:rPr>
                    <w:t>危险物质：导轨油、切削液</w:t>
                  </w:r>
                  <w:r>
                    <w:rPr>
                      <w:rFonts w:hint="default"/>
                      <w:color w:val="auto"/>
                      <w:highlight w:val="none"/>
                      <w:lang w:val="en-US" w:eastAsia="zh-CN"/>
                    </w:rPr>
                    <w:t>、</w:t>
                  </w:r>
                  <w:r>
                    <w:rPr>
                      <w:rFonts w:hint="eastAsia"/>
                      <w:color w:val="auto"/>
                      <w:highlight w:val="none"/>
                      <w:lang w:val="en-US" w:eastAsia="zh-CN"/>
                    </w:rPr>
                    <w:t>危废间危废。</w:t>
                  </w:r>
                </w:p>
                <w:p>
                  <w:pPr>
                    <w:pStyle w:val="63"/>
                    <w:ind w:firstLine="0" w:firstLineChars="0"/>
                    <w:rPr>
                      <w:rFonts w:hint="eastAsia"/>
                      <w:color w:val="auto"/>
                      <w:highlight w:val="none"/>
                      <w:lang w:val="en-US" w:eastAsia="zh-CN"/>
                    </w:rPr>
                  </w:pPr>
                  <w:r>
                    <w:rPr>
                      <w:rFonts w:hint="eastAsia"/>
                      <w:color w:val="auto"/>
                      <w:highlight w:val="none"/>
                      <w:lang w:val="en-US" w:eastAsia="zh-CN"/>
                    </w:rPr>
                    <w:t>分布：导轨油、切削液暂存于车间；危废暂存于危险废物暂存间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52" w:type="pct"/>
                  <w:noWrap/>
                  <w:vAlign w:val="center"/>
                </w:tcPr>
                <w:p>
                  <w:pPr>
                    <w:pStyle w:val="63"/>
                    <w:ind w:firstLine="0" w:firstLineChars="0"/>
                    <w:rPr>
                      <w:rFonts w:hint="eastAsia"/>
                      <w:color w:val="auto"/>
                      <w:highlight w:val="none"/>
                      <w:lang w:val="en-US" w:eastAsia="zh-CN"/>
                    </w:rPr>
                  </w:pPr>
                  <w:r>
                    <w:rPr>
                      <w:rFonts w:hint="eastAsia"/>
                      <w:color w:val="auto"/>
                      <w:highlight w:val="none"/>
                      <w:lang w:val="en-US" w:eastAsia="zh-CN"/>
                    </w:rPr>
                    <w:t>环境影响途径及危害后果</w:t>
                  </w:r>
                </w:p>
              </w:tc>
              <w:tc>
                <w:tcPr>
                  <w:tcW w:w="4247" w:type="pct"/>
                  <w:noWrap/>
                  <w:vAlign w:val="center"/>
                </w:tcPr>
                <w:p>
                  <w:pPr>
                    <w:pStyle w:val="63"/>
                    <w:ind w:firstLine="0" w:firstLineChars="0"/>
                    <w:jc w:val="left"/>
                    <w:rPr>
                      <w:rFonts w:hint="eastAsia"/>
                      <w:color w:val="auto"/>
                      <w:highlight w:val="none"/>
                      <w:lang w:val="en-US" w:eastAsia="zh-CN"/>
                    </w:rPr>
                  </w:pPr>
                  <w:r>
                    <w:rPr>
                      <w:rFonts w:hint="eastAsia"/>
                      <w:color w:val="auto"/>
                      <w:highlight w:val="none"/>
                      <w:lang w:val="en-US" w:eastAsia="zh-CN"/>
                    </w:rPr>
                    <w:t>影响途径：油类物质泄漏易引起火灾。</w:t>
                  </w:r>
                </w:p>
                <w:p>
                  <w:pPr>
                    <w:pStyle w:val="63"/>
                    <w:ind w:firstLine="0" w:firstLineChars="0"/>
                    <w:jc w:val="left"/>
                    <w:rPr>
                      <w:rFonts w:hint="eastAsia"/>
                      <w:color w:val="auto"/>
                      <w:highlight w:val="none"/>
                      <w:lang w:val="en-US" w:eastAsia="zh-CN"/>
                    </w:rPr>
                  </w:pPr>
                  <w:r>
                    <w:rPr>
                      <w:rFonts w:hint="eastAsia"/>
                      <w:color w:val="auto"/>
                      <w:highlight w:val="none"/>
                      <w:lang w:val="en-US" w:eastAsia="zh-CN"/>
                    </w:rPr>
                    <w:t>危害后果：环境风险物质泄漏污染周围土壤环境，遇明火发生火灾，燃烧烟气污染大气环境。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52" w:type="pct"/>
                  <w:noWrap/>
                  <w:vAlign w:val="center"/>
                </w:tcPr>
                <w:p>
                  <w:pPr>
                    <w:pStyle w:val="63"/>
                    <w:ind w:firstLine="0" w:firstLineChars="0"/>
                    <w:rPr>
                      <w:rFonts w:hint="eastAsia"/>
                      <w:color w:val="auto"/>
                      <w:highlight w:val="none"/>
                      <w:lang w:val="en-US" w:eastAsia="zh-CN"/>
                    </w:rPr>
                  </w:pPr>
                  <w:r>
                    <w:rPr>
                      <w:rFonts w:hint="eastAsia"/>
                      <w:color w:val="auto"/>
                      <w:highlight w:val="none"/>
                      <w:lang w:val="en-US" w:eastAsia="zh-CN"/>
                    </w:rPr>
                    <w:t>风险防范措施要求</w:t>
                  </w:r>
                </w:p>
              </w:tc>
              <w:tc>
                <w:tcPr>
                  <w:tcW w:w="4247" w:type="pct"/>
                  <w:noWrap/>
                  <w:vAlign w:val="center"/>
                </w:tcPr>
                <w:p>
                  <w:pPr>
                    <w:pStyle w:val="63"/>
                    <w:ind w:firstLine="0" w:firstLineChars="0"/>
                    <w:jc w:val="left"/>
                    <w:rPr>
                      <w:rFonts w:hint="eastAsia"/>
                      <w:color w:val="auto"/>
                      <w:highlight w:val="none"/>
                      <w:lang w:val="zh-CN" w:eastAsia="zh-CN"/>
                    </w:rPr>
                  </w:pPr>
                  <w:r>
                    <w:rPr>
                      <w:rFonts w:hint="eastAsia"/>
                      <w:color w:val="auto"/>
                      <w:highlight w:val="none"/>
                      <w:lang w:val="zh-CN" w:eastAsia="zh-CN"/>
                    </w:rPr>
                    <w:t>1、危险废物暂存间非工作人员不得靠近；</w:t>
                  </w:r>
                </w:p>
                <w:p>
                  <w:pPr>
                    <w:pStyle w:val="63"/>
                    <w:ind w:firstLine="0" w:firstLineChars="0"/>
                    <w:jc w:val="left"/>
                    <w:rPr>
                      <w:rFonts w:hint="eastAsia"/>
                      <w:color w:val="auto"/>
                      <w:highlight w:val="none"/>
                      <w:lang w:val="zh-CN" w:eastAsia="zh-CN"/>
                    </w:rPr>
                  </w:pPr>
                  <w:r>
                    <w:rPr>
                      <w:rFonts w:hint="eastAsia"/>
                      <w:color w:val="auto"/>
                      <w:highlight w:val="none"/>
                      <w:lang w:val="zh-CN" w:eastAsia="zh-CN"/>
                    </w:rPr>
                    <w:t>2、环境风险物质必须分类妥善存放，严格管理，保持通风良好，并设置明显标志。车间、仓库以及危险废物暂存间使用防爆灯具。　　</w:t>
                  </w:r>
                </w:p>
                <w:p>
                  <w:pPr>
                    <w:pStyle w:val="63"/>
                    <w:ind w:firstLine="0" w:firstLineChars="0"/>
                    <w:jc w:val="left"/>
                    <w:rPr>
                      <w:rFonts w:hint="eastAsia"/>
                      <w:color w:val="auto"/>
                      <w:highlight w:val="none"/>
                      <w:lang w:val="zh-CN" w:eastAsia="zh-CN"/>
                    </w:rPr>
                  </w:pPr>
                  <w:r>
                    <w:rPr>
                      <w:rFonts w:hint="eastAsia"/>
                      <w:color w:val="auto"/>
                      <w:highlight w:val="none"/>
                      <w:lang w:val="zh-CN" w:eastAsia="zh-CN"/>
                    </w:rPr>
                    <w:t>3、设置专人保管，保管员要详细核对产品名称、规格、牌号、质量、数量、查清危险性质。遇有包装不良、质量异变、标号不符合等情况，应及时进行安全处理。</w:t>
                  </w:r>
                </w:p>
                <w:p>
                  <w:pPr>
                    <w:pStyle w:val="63"/>
                    <w:ind w:firstLine="0" w:firstLineChars="0"/>
                    <w:jc w:val="left"/>
                    <w:rPr>
                      <w:rFonts w:hint="eastAsia"/>
                      <w:color w:val="auto"/>
                      <w:highlight w:val="none"/>
                      <w:lang w:val="zh-CN" w:eastAsia="zh-CN"/>
                    </w:rPr>
                  </w:pPr>
                  <w:r>
                    <w:rPr>
                      <w:rFonts w:hint="eastAsia"/>
                      <w:color w:val="auto"/>
                      <w:highlight w:val="none"/>
                      <w:lang w:val="zh-CN" w:eastAsia="zh-CN"/>
                    </w:rPr>
                    <w:t>4、容器包装要密闭，完整无损。</w:t>
                  </w:r>
                </w:p>
                <w:p>
                  <w:pPr>
                    <w:pStyle w:val="63"/>
                    <w:ind w:firstLine="0" w:firstLineChars="0"/>
                    <w:jc w:val="left"/>
                    <w:rPr>
                      <w:rFonts w:hint="eastAsia"/>
                      <w:color w:val="auto"/>
                      <w:highlight w:val="none"/>
                      <w:lang w:val="zh-CN" w:eastAsia="zh-CN"/>
                    </w:rPr>
                  </w:pPr>
                  <w:r>
                    <w:rPr>
                      <w:rFonts w:hint="eastAsia"/>
                      <w:color w:val="auto"/>
                      <w:highlight w:val="none"/>
                      <w:lang w:val="zh-CN" w:eastAsia="zh-CN"/>
                    </w:rPr>
                    <w:t>5、厂区内禁止吸烟，储存区及危险废物暂存间周围严禁明火作业。</w:t>
                  </w:r>
                </w:p>
                <w:p>
                  <w:pPr>
                    <w:pStyle w:val="63"/>
                    <w:ind w:firstLine="0" w:firstLineChars="0"/>
                    <w:jc w:val="left"/>
                    <w:rPr>
                      <w:rFonts w:hint="eastAsia"/>
                      <w:color w:val="auto"/>
                      <w:highlight w:val="none"/>
                      <w:lang w:val="zh-CN" w:eastAsia="zh-CN"/>
                    </w:rPr>
                  </w:pPr>
                  <w:r>
                    <w:rPr>
                      <w:rFonts w:hint="eastAsia"/>
                      <w:color w:val="auto"/>
                      <w:highlight w:val="none"/>
                      <w:lang w:val="zh-CN" w:eastAsia="zh-CN"/>
                    </w:rPr>
                    <w:t>6、进行定期和不定期的安全检查，查出隐患，要及时整改和上报。如发现不安全的紧急情况，应先停止工作，再报有关部门研究处理。</w:t>
                  </w:r>
                </w:p>
                <w:p>
                  <w:pPr>
                    <w:pStyle w:val="63"/>
                    <w:ind w:firstLine="0" w:firstLineChars="0"/>
                    <w:jc w:val="left"/>
                    <w:rPr>
                      <w:rFonts w:hint="eastAsia"/>
                      <w:color w:val="auto"/>
                      <w:highlight w:val="none"/>
                      <w:lang w:val="en-US" w:eastAsia="zh-CN"/>
                    </w:rPr>
                  </w:pPr>
                  <w:r>
                    <w:rPr>
                      <w:rFonts w:hint="eastAsia"/>
                      <w:color w:val="auto"/>
                      <w:highlight w:val="none"/>
                      <w:lang w:val="zh-CN" w:eastAsia="zh-CN"/>
                    </w:rPr>
                    <w:t>7、各种安全防护装置设备要定期检查，不得随意拆除和非法占用。</w:t>
                  </w:r>
                </w:p>
              </w:tc>
            </w:tr>
          </w:tbl>
          <w:p>
            <w:pPr>
              <w:pStyle w:val="8"/>
              <w:rPr>
                <w:rFonts w:hint="default"/>
                <w:color w:val="auto"/>
                <w:highlight w:val="none"/>
                <w:lang w:val="en-US" w:eastAsia="zh-CN"/>
              </w:rPr>
            </w:pPr>
            <w:r>
              <w:rPr>
                <w:rFonts w:hint="eastAsia"/>
                <w:color w:val="auto"/>
                <w:highlight w:val="none"/>
                <w:lang w:val="en-US" w:eastAsia="zh-CN"/>
              </w:rPr>
              <w:t>7碳排放</w:t>
            </w:r>
          </w:p>
          <w:p>
            <w:pPr>
              <w:pStyle w:val="18"/>
              <w:spacing w:line="360" w:lineRule="auto"/>
              <w:ind w:left="0" w:right="0" w:firstLine="482"/>
              <w:jc w:val="left"/>
              <w:rPr>
                <w:rFonts w:hint="eastAsia" w:ascii="Times New Roman" w:hAnsi="Times New Roman" w:eastAsia="宋体" w:cs="Times New Roman"/>
                <w:snapToGrid w:val="0"/>
                <w:color w:val="auto"/>
                <w:spacing w:val="0"/>
                <w:w w:val="100"/>
                <w:sz w:val="24"/>
                <w:szCs w:val="24"/>
                <w:highlight w:val="none"/>
                <w:lang w:val="en-US" w:eastAsia="zh-CN"/>
              </w:rPr>
            </w:pPr>
            <w:r>
              <w:rPr>
                <w:rFonts w:hint="eastAsia" w:ascii="Times New Roman" w:hAnsi="Times New Roman" w:eastAsia="宋体" w:cs="Times New Roman"/>
                <w:snapToGrid w:val="0"/>
                <w:color w:val="auto"/>
                <w:spacing w:val="0"/>
                <w:w w:val="100"/>
                <w:sz w:val="24"/>
                <w:szCs w:val="24"/>
                <w:highlight w:val="none"/>
                <w:lang w:val="en-US" w:eastAsia="zh-CN"/>
              </w:rPr>
              <w:t>碳排放是关于温室气体排放的一个总称或简称。温室气体中最主要的气体是二氧化碳，因此用碳一词作为代表。多数科学家和政府承认温室气体已经并将继续为地球和人类带来灾难，所以“控制碳排放”和“碳中和”这样的术语就成为容易被大多数人所理解，接受，并采取行动的文化基础。我们的日常生活一直都在排放二氧化碳，而如何通过有节制的生活，以及如何通过节能减污的技术来减少工厂和企业的碳排放量，成为本世纪最重要的世界问题。</w:t>
            </w:r>
          </w:p>
          <w:p>
            <w:pPr>
              <w:pStyle w:val="18"/>
              <w:spacing w:line="360" w:lineRule="auto"/>
              <w:ind w:left="0" w:right="0" w:firstLine="482"/>
              <w:jc w:val="left"/>
              <w:rPr>
                <w:rFonts w:hint="eastAsia" w:ascii="Times New Roman" w:hAnsi="Times New Roman" w:eastAsia="宋体" w:cs="Times New Roman"/>
                <w:snapToGrid w:val="0"/>
                <w:color w:val="auto"/>
                <w:spacing w:val="0"/>
                <w:w w:val="100"/>
                <w:sz w:val="24"/>
                <w:szCs w:val="24"/>
                <w:highlight w:val="none"/>
                <w:lang w:val="en-US" w:eastAsia="zh-CN"/>
              </w:rPr>
            </w:pPr>
            <w:r>
              <w:rPr>
                <w:rFonts w:hint="default" w:ascii="Times New Roman" w:hAnsi="Times New Roman" w:eastAsia="宋体" w:cs="Times New Roman"/>
                <w:snapToGrid w:val="0"/>
                <w:color w:val="auto"/>
                <w:spacing w:val="0"/>
                <w:w w:val="100"/>
                <w:sz w:val="24"/>
                <w:szCs w:val="24"/>
                <w:highlight w:val="none"/>
                <w:lang w:val="en-US" w:eastAsia="zh-CN"/>
              </w:rPr>
              <w:t>《秦皇岛市深入打好污染防治攻坚战实施方案》</w:t>
            </w:r>
            <w:r>
              <w:rPr>
                <w:rFonts w:hint="eastAsia" w:ascii="Times New Roman" w:hAnsi="Times New Roman" w:eastAsia="宋体" w:cs="Times New Roman"/>
                <w:snapToGrid w:val="0"/>
                <w:color w:val="auto"/>
                <w:spacing w:val="0"/>
                <w:w w:val="100"/>
                <w:sz w:val="24"/>
                <w:szCs w:val="24"/>
                <w:highlight w:val="none"/>
                <w:lang w:val="en-US" w:eastAsia="zh-CN"/>
              </w:rPr>
              <w:t>要求“在环评文件中增加碳排放评价内容”。</w:t>
            </w:r>
          </w:p>
          <w:p>
            <w:pPr>
              <w:spacing w:line="360" w:lineRule="auto"/>
              <w:ind w:left="0" w:leftChars="0" w:firstLine="0" w:firstLineChars="0"/>
              <w:rPr>
                <w:rFonts w:hint="default"/>
                <w:color w:val="auto"/>
                <w:highlight w:val="none"/>
                <w:lang w:val="en-US" w:eastAsia="zh-CN"/>
              </w:rPr>
            </w:pPr>
            <w:r>
              <w:rPr>
                <w:rFonts w:hint="default"/>
                <w:color w:val="auto"/>
                <w:highlight w:val="none"/>
                <w:lang w:val="en-US" w:eastAsia="zh-CN"/>
              </w:rPr>
              <w:t>本项目生产过程仅消耗部分电能，不使用燃料。净调入电力消耗碳排放量计算公式，公式如下：</w:t>
            </w:r>
          </w:p>
          <w:p>
            <w:pPr>
              <w:spacing w:line="360" w:lineRule="auto"/>
              <w:ind w:left="0" w:leftChars="0" w:firstLine="0" w:firstLineChars="0"/>
              <w:jc w:val="center"/>
              <w:rPr>
                <w:rFonts w:hint="default"/>
                <w:color w:val="auto"/>
                <w:highlight w:val="none"/>
                <w:lang w:val="en-US" w:eastAsia="zh-CN"/>
              </w:rPr>
            </w:pPr>
            <w:r>
              <w:rPr>
                <w:rFonts w:hint="default"/>
                <w:color w:val="auto"/>
                <w:highlight w:val="none"/>
                <w:lang w:val="en-US" w:eastAsia="zh-CN"/>
              </w:rPr>
              <w:t>AE净调入电力=AD净调入电量×EF电力</w:t>
            </w:r>
          </w:p>
          <w:p>
            <w:pPr>
              <w:spacing w:line="360" w:lineRule="auto"/>
              <w:ind w:firstLine="480" w:firstLineChars="200"/>
              <w:jc w:val="both"/>
              <w:rPr>
                <w:rFonts w:hint="default"/>
                <w:color w:val="auto"/>
                <w:highlight w:val="none"/>
                <w:lang w:val="en-US" w:eastAsia="zh-CN"/>
              </w:rPr>
            </w:pPr>
            <w:r>
              <w:rPr>
                <w:rFonts w:hint="default"/>
                <w:color w:val="auto"/>
                <w:highlight w:val="none"/>
                <w:lang w:val="en-US" w:eastAsia="zh-CN"/>
              </w:rPr>
              <w:t>式中：AD净调入电量=净调入电力消耗量（MWh）</w:t>
            </w:r>
          </w:p>
          <w:p>
            <w:pPr>
              <w:spacing w:line="360" w:lineRule="auto"/>
              <w:ind w:firstLine="480" w:firstLineChars="200"/>
              <w:jc w:val="both"/>
              <w:rPr>
                <w:rFonts w:hint="default"/>
                <w:color w:val="auto"/>
                <w:highlight w:val="none"/>
                <w:lang w:val="en-US" w:eastAsia="zh-CN"/>
              </w:rPr>
            </w:pPr>
            <w:r>
              <w:rPr>
                <w:rFonts w:hint="default"/>
                <w:color w:val="auto"/>
                <w:highlight w:val="none"/>
                <w:lang w:val="en-US" w:eastAsia="zh-CN"/>
              </w:rPr>
              <w:t>EF电力——电子排放因子（tCO2eMWh），</w:t>
            </w:r>
            <w:r>
              <w:rPr>
                <w:color w:val="auto"/>
                <w:spacing w:val="-2"/>
                <w:highlight w:val="none"/>
              </w:rPr>
              <w:t>参照《生态环境部办公厅关于做好2023-2025年发电行业企业温室气体排放报告管理有关工作的通知》（环办气候函〔2023〕43号）</w:t>
            </w:r>
            <w:r>
              <w:rPr>
                <w:rFonts w:hint="eastAsia"/>
                <w:color w:val="auto"/>
                <w:spacing w:val="-2"/>
                <w:highlight w:val="none"/>
                <w:lang w:eastAsia="zh-CN"/>
              </w:rPr>
              <w:t>，</w:t>
            </w:r>
            <w:r>
              <w:rPr>
                <w:rFonts w:hint="eastAsia"/>
                <w:color w:val="auto"/>
                <w:spacing w:val="-2"/>
                <w:highlight w:val="none"/>
                <w:lang w:val="en-US" w:eastAsia="zh-CN"/>
              </w:rPr>
              <w:t>0.5703tCO</w:t>
            </w:r>
            <w:r>
              <w:rPr>
                <w:rFonts w:hint="eastAsia"/>
                <w:color w:val="auto"/>
                <w:spacing w:val="-2"/>
                <w:highlight w:val="none"/>
                <w:vertAlign w:val="subscript"/>
                <w:lang w:val="en-US" w:eastAsia="zh-CN"/>
              </w:rPr>
              <w:t>2</w:t>
            </w:r>
            <w:r>
              <w:rPr>
                <w:rFonts w:hint="eastAsia"/>
                <w:color w:val="auto"/>
                <w:spacing w:val="-2"/>
                <w:highlight w:val="none"/>
                <w:lang w:val="en-US" w:eastAsia="zh-CN"/>
              </w:rPr>
              <w:t>/MWh。</w:t>
            </w:r>
          </w:p>
          <w:p>
            <w:pPr>
              <w:spacing w:line="360" w:lineRule="auto"/>
              <w:ind w:firstLine="480" w:firstLineChars="200"/>
              <w:jc w:val="both"/>
              <w:rPr>
                <w:rFonts w:hint="default"/>
                <w:color w:val="auto"/>
                <w:highlight w:val="none"/>
                <w:lang w:val="en-US" w:eastAsia="zh-CN"/>
              </w:rPr>
            </w:pPr>
            <w:r>
              <w:rPr>
                <w:rFonts w:hint="default"/>
                <w:color w:val="auto"/>
                <w:highlight w:val="none"/>
                <w:lang w:val="en-US" w:eastAsia="zh-CN"/>
              </w:rPr>
              <w:t>本项目用电量为</w:t>
            </w:r>
            <w:r>
              <w:rPr>
                <w:rFonts w:hint="eastAsia"/>
                <w:color w:val="auto"/>
                <w:highlight w:val="none"/>
                <w:lang w:val="en-US" w:eastAsia="zh-CN"/>
              </w:rPr>
              <w:t>12</w:t>
            </w:r>
            <w:r>
              <w:rPr>
                <w:rFonts w:hint="default"/>
                <w:color w:val="auto"/>
                <w:highlight w:val="none"/>
                <w:lang w:val="en-US" w:eastAsia="zh-CN"/>
              </w:rPr>
              <w:t>万kWh/a</w:t>
            </w:r>
            <w:r>
              <w:rPr>
                <w:rFonts w:hint="eastAsia"/>
                <w:color w:val="auto"/>
                <w:highlight w:val="none"/>
                <w:lang w:val="en-US" w:eastAsia="zh-CN"/>
              </w:rPr>
              <w:t>（120</w:t>
            </w:r>
            <w:r>
              <w:rPr>
                <w:rFonts w:hint="default"/>
                <w:color w:val="auto"/>
                <w:highlight w:val="none"/>
                <w:lang w:val="en-US" w:eastAsia="zh-CN"/>
              </w:rPr>
              <w:t>MWh</w:t>
            </w:r>
            <w:r>
              <w:rPr>
                <w:rFonts w:hint="eastAsia"/>
                <w:color w:val="auto"/>
                <w:highlight w:val="none"/>
                <w:lang w:val="en-US" w:eastAsia="zh-CN"/>
              </w:rPr>
              <w:t>）</w:t>
            </w:r>
            <w:r>
              <w:rPr>
                <w:rFonts w:hint="default"/>
                <w:color w:val="auto"/>
                <w:highlight w:val="none"/>
                <w:lang w:val="en-US" w:eastAsia="zh-CN"/>
              </w:rPr>
              <w:t>，净调入电力消耗碳排放量</w:t>
            </w:r>
            <w:r>
              <w:rPr>
                <w:rFonts w:hint="eastAsia"/>
                <w:color w:val="auto"/>
                <w:highlight w:val="none"/>
                <w:lang w:val="en-US" w:eastAsia="zh-CN"/>
              </w:rPr>
              <w:t>68.436</w:t>
            </w:r>
            <w:r>
              <w:rPr>
                <w:rFonts w:hint="default"/>
                <w:color w:val="auto"/>
                <w:highlight w:val="none"/>
                <w:lang w:val="en-US" w:eastAsia="zh-CN"/>
              </w:rPr>
              <w:t>tCO</w:t>
            </w:r>
            <w:r>
              <w:rPr>
                <w:rFonts w:hint="default"/>
                <w:color w:val="auto"/>
                <w:highlight w:val="none"/>
                <w:vertAlign w:val="subscript"/>
                <w:lang w:val="en-US" w:eastAsia="zh-CN"/>
              </w:rPr>
              <w:t>2</w:t>
            </w:r>
            <w:r>
              <w:rPr>
                <w:rFonts w:hint="default"/>
                <w:color w:val="auto"/>
                <w:highlight w:val="none"/>
                <w:lang w:val="en-US" w:eastAsia="zh-CN"/>
              </w:rPr>
              <w:t>。</w:t>
            </w:r>
          </w:p>
          <w:p>
            <w:pPr>
              <w:spacing w:line="240" w:lineRule="auto"/>
              <w:ind w:firstLine="482" w:firstLineChars="200"/>
              <w:jc w:val="center"/>
              <w:rPr>
                <w:rFonts w:hint="eastAsia" w:ascii="Times New Roman" w:hAnsi="Times New Roman" w:eastAsia="宋体" w:cs="Times New Roman"/>
                <w:b/>
                <w:bCs/>
                <w:color w:val="auto"/>
                <w:highlight w:val="none"/>
                <w:lang w:val="en-US" w:eastAsia="zh-CN"/>
              </w:rPr>
            </w:pPr>
            <w:r>
              <w:rPr>
                <w:rFonts w:hint="eastAsia" w:ascii="Times New Roman" w:hAnsi="Times New Roman" w:eastAsia="宋体" w:cs="Times New Roman"/>
                <w:b/>
                <w:bCs/>
                <w:color w:val="auto"/>
                <w:highlight w:val="none"/>
                <w:lang w:val="en-US" w:eastAsia="zh-CN"/>
              </w:rPr>
              <w:t>表4-1</w:t>
            </w:r>
            <w:r>
              <w:rPr>
                <w:rFonts w:hint="eastAsia" w:cs="Times New Roman"/>
                <w:b/>
                <w:bCs/>
                <w:color w:val="auto"/>
                <w:highlight w:val="none"/>
                <w:lang w:val="en-US" w:eastAsia="zh-CN"/>
              </w:rPr>
              <w:t>8</w:t>
            </w:r>
            <w:r>
              <w:rPr>
                <w:rFonts w:hint="eastAsia" w:ascii="Times New Roman" w:hAnsi="Times New Roman" w:eastAsia="宋体" w:cs="Times New Roman"/>
                <w:b/>
                <w:bCs/>
                <w:color w:val="auto"/>
                <w:highlight w:val="none"/>
                <w:lang w:val="en-US" w:eastAsia="zh-CN"/>
              </w:rPr>
              <w:t xml:space="preserve"> 碳排放“三本账”</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70"/>
              <w:gridCol w:w="1670"/>
              <w:gridCol w:w="1670"/>
              <w:gridCol w:w="1671"/>
              <w:gridCol w:w="16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72"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因子</w:t>
                  </w:r>
                </w:p>
              </w:tc>
              <w:tc>
                <w:tcPr>
                  <w:tcW w:w="1672"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现有工程（t</w:t>
                  </w:r>
                  <w:r>
                    <w:rPr>
                      <w:rFonts w:hint="default"/>
                      <w:color w:val="auto"/>
                      <w:sz w:val="21"/>
                      <w:szCs w:val="21"/>
                      <w:highlight w:val="none"/>
                      <w:lang w:val="en-US" w:eastAsia="zh-CN"/>
                    </w:rPr>
                    <w:t>CO</w:t>
                  </w:r>
                  <w:r>
                    <w:rPr>
                      <w:rFonts w:hint="default"/>
                      <w:color w:val="auto"/>
                      <w:sz w:val="21"/>
                      <w:szCs w:val="21"/>
                      <w:highlight w:val="none"/>
                      <w:vertAlign w:val="subscript"/>
                      <w:lang w:val="en-US" w:eastAsia="zh-CN"/>
                    </w:rPr>
                    <w:t>2</w:t>
                  </w:r>
                  <w:r>
                    <w:rPr>
                      <w:rFonts w:hint="eastAsia"/>
                      <w:color w:val="auto"/>
                      <w:sz w:val="21"/>
                      <w:szCs w:val="21"/>
                      <w:highlight w:val="none"/>
                      <w:vertAlign w:val="baseline"/>
                      <w:lang w:val="en-US" w:eastAsia="zh-CN"/>
                    </w:rPr>
                    <w:t>/a）</w:t>
                  </w:r>
                </w:p>
              </w:tc>
              <w:tc>
                <w:tcPr>
                  <w:tcW w:w="1672"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本项目（t</w:t>
                  </w:r>
                  <w:r>
                    <w:rPr>
                      <w:rFonts w:hint="default"/>
                      <w:color w:val="auto"/>
                      <w:sz w:val="21"/>
                      <w:szCs w:val="21"/>
                      <w:highlight w:val="none"/>
                      <w:lang w:val="en-US" w:eastAsia="zh-CN"/>
                    </w:rPr>
                    <w:t>CO</w:t>
                  </w:r>
                  <w:r>
                    <w:rPr>
                      <w:rFonts w:hint="default"/>
                      <w:color w:val="auto"/>
                      <w:sz w:val="21"/>
                      <w:szCs w:val="21"/>
                      <w:highlight w:val="none"/>
                      <w:vertAlign w:val="subscript"/>
                      <w:lang w:val="en-US" w:eastAsia="zh-CN"/>
                    </w:rPr>
                    <w:t>2</w:t>
                  </w:r>
                  <w:r>
                    <w:rPr>
                      <w:rFonts w:hint="eastAsia"/>
                      <w:color w:val="auto"/>
                      <w:sz w:val="21"/>
                      <w:szCs w:val="21"/>
                      <w:highlight w:val="none"/>
                      <w:vertAlign w:val="baseline"/>
                      <w:lang w:val="en-US" w:eastAsia="zh-CN"/>
                    </w:rPr>
                    <w:t>/a）</w:t>
                  </w:r>
                </w:p>
              </w:tc>
              <w:tc>
                <w:tcPr>
                  <w:tcW w:w="1673"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总体工程（t</w:t>
                  </w:r>
                  <w:r>
                    <w:rPr>
                      <w:rFonts w:hint="default"/>
                      <w:color w:val="auto"/>
                      <w:sz w:val="21"/>
                      <w:szCs w:val="21"/>
                      <w:highlight w:val="none"/>
                      <w:lang w:val="en-US" w:eastAsia="zh-CN"/>
                    </w:rPr>
                    <w:t>CO</w:t>
                  </w:r>
                  <w:r>
                    <w:rPr>
                      <w:rFonts w:hint="default"/>
                      <w:color w:val="auto"/>
                      <w:sz w:val="21"/>
                      <w:szCs w:val="21"/>
                      <w:highlight w:val="none"/>
                      <w:vertAlign w:val="subscript"/>
                      <w:lang w:val="en-US" w:eastAsia="zh-CN"/>
                    </w:rPr>
                    <w:t>2</w:t>
                  </w:r>
                  <w:r>
                    <w:rPr>
                      <w:rFonts w:hint="eastAsia"/>
                      <w:color w:val="auto"/>
                      <w:sz w:val="21"/>
                      <w:szCs w:val="21"/>
                      <w:highlight w:val="none"/>
                      <w:vertAlign w:val="baseline"/>
                      <w:lang w:val="en-US" w:eastAsia="zh-CN"/>
                    </w:rPr>
                    <w:t>/a）</w:t>
                  </w:r>
                </w:p>
              </w:tc>
              <w:tc>
                <w:tcPr>
                  <w:tcW w:w="1673"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增减量（t</w:t>
                  </w:r>
                  <w:r>
                    <w:rPr>
                      <w:rFonts w:hint="default"/>
                      <w:color w:val="auto"/>
                      <w:sz w:val="21"/>
                      <w:szCs w:val="21"/>
                      <w:highlight w:val="none"/>
                      <w:lang w:val="en-US" w:eastAsia="zh-CN"/>
                    </w:rPr>
                    <w:t>CO</w:t>
                  </w:r>
                  <w:r>
                    <w:rPr>
                      <w:rFonts w:hint="default"/>
                      <w:color w:val="auto"/>
                      <w:sz w:val="21"/>
                      <w:szCs w:val="21"/>
                      <w:highlight w:val="none"/>
                      <w:vertAlign w:val="subscript"/>
                      <w:lang w:val="en-US" w:eastAsia="zh-CN"/>
                    </w:rPr>
                    <w:t>2</w:t>
                  </w:r>
                  <w:r>
                    <w:rPr>
                      <w:rFonts w:hint="eastAsia"/>
                      <w:color w:val="auto"/>
                      <w:sz w:val="21"/>
                      <w:szCs w:val="21"/>
                      <w:highlight w:val="none"/>
                      <w:vertAlign w:val="baseline"/>
                      <w:lang w:val="en-US" w:eastAsia="zh-CN"/>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72"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碳排放量</w:t>
                  </w:r>
                </w:p>
              </w:tc>
              <w:tc>
                <w:tcPr>
                  <w:tcW w:w="1672"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230.9715</w:t>
                  </w:r>
                </w:p>
              </w:tc>
              <w:tc>
                <w:tcPr>
                  <w:tcW w:w="1672"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68.436</w:t>
                  </w:r>
                </w:p>
              </w:tc>
              <w:tc>
                <w:tcPr>
                  <w:tcW w:w="1673"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299.4075</w:t>
                  </w:r>
                </w:p>
              </w:tc>
              <w:tc>
                <w:tcPr>
                  <w:tcW w:w="1673"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+68.436</w:t>
                  </w:r>
                </w:p>
              </w:tc>
            </w:tr>
          </w:tbl>
          <w:p>
            <w:pPr>
              <w:spacing w:line="360" w:lineRule="auto"/>
              <w:ind w:firstLine="480" w:firstLineChars="200"/>
              <w:jc w:val="both"/>
              <w:rPr>
                <w:rFonts w:hint="default"/>
                <w:color w:val="auto"/>
                <w:highlight w:val="none"/>
                <w:lang w:val="en-US" w:eastAsia="zh-CN"/>
              </w:rPr>
            </w:pPr>
            <w:r>
              <w:rPr>
                <w:rFonts w:hint="default"/>
                <w:color w:val="auto"/>
                <w:highlight w:val="none"/>
                <w:lang w:val="en-US" w:eastAsia="zh-CN"/>
              </w:rPr>
              <w:t>针对项目碳排放，采取如下碳减排措施：</w:t>
            </w:r>
          </w:p>
          <w:p>
            <w:pPr>
              <w:spacing w:line="360" w:lineRule="auto"/>
              <w:ind w:firstLine="480" w:firstLineChars="200"/>
              <w:jc w:val="both"/>
              <w:rPr>
                <w:rFonts w:hint="default"/>
                <w:color w:val="auto"/>
                <w:highlight w:val="none"/>
                <w:lang w:val="en-US" w:eastAsia="zh-CN"/>
              </w:rPr>
            </w:pPr>
            <w:r>
              <w:rPr>
                <w:rFonts w:hint="default"/>
                <w:color w:val="auto"/>
                <w:highlight w:val="none"/>
                <w:lang w:val="en-US" w:eastAsia="zh-CN"/>
              </w:rPr>
              <w:t>(1)采用节能电气化设施：项目生产</w:t>
            </w:r>
            <w:r>
              <w:rPr>
                <w:rFonts w:hint="eastAsia"/>
                <w:color w:val="auto"/>
                <w:highlight w:val="none"/>
                <w:lang w:val="en-US" w:eastAsia="zh-CN"/>
              </w:rPr>
              <w:t>设施</w:t>
            </w:r>
            <w:r>
              <w:rPr>
                <w:rFonts w:hint="default"/>
                <w:color w:val="auto"/>
                <w:highlight w:val="none"/>
                <w:lang w:val="en-US" w:eastAsia="zh-CN"/>
              </w:rPr>
              <w:t>全部采用节能设施，降低能源消耗，根据设计资料及工程分析，项目综合能耗均满足清洁生产要求和单位产品能源消耗限额要求；</w:t>
            </w:r>
          </w:p>
          <w:p>
            <w:pPr>
              <w:spacing w:line="360" w:lineRule="auto"/>
              <w:ind w:firstLine="480" w:firstLineChars="200"/>
              <w:jc w:val="both"/>
              <w:rPr>
                <w:rFonts w:hint="default"/>
                <w:color w:val="auto"/>
                <w:highlight w:val="none"/>
                <w:lang w:val="en-US" w:eastAsia="zh-CN"/>
              </w:rPr>
            </w:pPr>
            <w:r>
              <w:rPr>
                <w:rFonts w:hint="default"/>
                <w:color w:val="auto"/>
                <w:highlight w:val="none"/>
                <w:lang w:val="en-US" w:eastAsia="zh-CN"/>
              </w:rPr>
              <w:t>(2)通过合理的平面布置，各工序之间的有效衔接，减少物料转运距离及转运</w:t>
            </w:r>
          </w:p>
          <w:p>
            <w:pPr>
              <w:spacing w:line="360" w:lineRule="auto"/>
              <w:ind w:left="0" w:leftChars="0" w:firstLine="0" w:firstLineChars="0"/>
              <w:jc w:val="both"/>
              <w:rPr>
                <w:rFonts w:hint="default"/>
                <w:color w:val="auto"/>
                <w:highlight w:val="none"/>
                <w:lang w:val="en-US" w:eastAsia="zh-CN"/>
              </w:rPr>
            </w:pPr>
            <w:r>
              <w:rPr>
                <w:rFonts w:hint="default"/>
                <w:color w:val="auto"/>
                <w:highlight w:val="none"/>
                <w:lang w:val="en-US" w:eastAsia="zh-CN"/>
              </w:rPr>
              <w:t>时间；</w:t>
            </w:r>
          </w:p>
          <w:p>
            <w:pPr>
              <w:spacing w:line="360" w:lineRule="auto"/>
              <w:ind w:firstLine="480" w:firstLineChars="200"/>
              <w:jc w:val="both"/>
              <w:rPr>
                <w:rFonts w:hint="default"/>
                <w:color w:val="auto"/>
                <w:highlight w:val="none"/>
                <w:lang w:val="en-US" w:eastAsia="zh-CN"/>
              </w:rPr>
            </w:pPr>
            <w:r>
              <w:rPr>
                <w:rFonts w:hint="default"/>
                <w:color w:val="auto"/>
                <w:highlight w:val="none"/>
                <w:lang w:val="en-US" w:eastAsia="zh-CN"/>
              </w:rPr>
              <w:t>(3)建立健全的能源管理机构和管理制度，定期开展清洁生产审核以及节能减</w:t>
            </w:r>
          </w:p>
          <w:p>
            <w:pPr>
              <w:spacing w:line="360" w:lineRule="auto"/>
              <w:ind w:left="0" w:leftChars="0" w:firstLine="0" w:firstLineChars="0"/>
              <w:jc w:val="both"/>
              <w:rPr>
                <w:rFonts w:hint="default"/>
                <w:color w:val="auto"/>
                <w:highlight w:val="none"/>
                <w:lang w:val="en-US" w:eastAsia="zh-CN"/>
              </w:rPr>
            </w:pPr>
            <w:r>
              <w:rPr>
                <w:rFonts w:hint="default"/>
                <w:color w:val="auto"/>
                <w:highlight w:val="none"/>
                <w:lang w:val="en-US" w:eastAsia="zh-CN"/>
              </w:rPr>
              <w:t>排等活动。</w:t>
            </w:r>
          </w:p>
          <w:p>
            <w:pPr>
              <w:pStyle w:val="8"/>
              <w:rPr>
                <w:rFonts w:hint="default"/>
                <w:color w:val="auto"/>
                <w:highlight w:val="none"/>
                <w:lang w:val="en-US" w:eastAsia="zh-CN"/>
              </w:rPr>
            </w:pPr>
            <w:r>
              <w:rPr>
                <w:rFonts w:hint="eastAsia"/>
                <w:color w:val="auto"/>
                <w:highlight w:val="none"/>
                <w:lang w:val="en-US" w:eastAsia="zh-CN"/>
              </w:rPr>
              <w:t>8三本账</w:t>
            </w:r>
          </w:p>
          <w:p>
            <w:pPr>
              <w:spacing w:line="240" w:lineRule="auto"/>
              <w:ind w:firstLine="482" w:firstLineChars="200"/>
              <w:jc w:val="center"/>
              <w:rPr>
                <w:rFonts w:hint="eastAsia" w:ascii="Times New Roman" w:hAnsi="Times New Roman" w:eastAsia="宋体" w:cs="Times New Roman"/>
                <w:b/>
                <w:bCs/>
                <w:color w:val="auto"/>
                <w:highlight w:val="none"/>
                <w:lang w:val="en-US" w:eastAsia="zh-CN"/>
              </w:rPr>
            </w:pPr>
            <w:r>
              <w:rPr>
                <w:rFonts w:hint="eastAsia" w:ascii="Times New Roman" w:hAnsi="Times New Roman" w:eastAsia="宋体" w:cs="Times New Roman"/>
                <w:b/>
                <w:bCs/>
                <w:color w:val="auto"/>
                <w:highlight w:val="none"/>
                <w:lang w:val="en-US" w:eastAsia="zh-CN"/>
              </w:rPr>
              <w:t>表4-1</w:t>
            </w:r>
            <w:r>
              <w:rPr>
                <w:rFonts w:hint="eastAsia" w:cs="Times New Roman"/>
                <w:b/>
                <w:bCs/>
                <w:color w:val="auto"/>
                <w:highlight w:val="none"/>
                <w:lang w:val="en-US" w:eastAsia="zh-CN"/>
              </w:rPr>
              <w:t>9</w:t>
            </w:r>
            <w:r>
              <w:rPr>
                <w:rFonts w:hint="eastAsia" w:ascii="Times New Roman" w:hAnsi="Times New Roman" w:eastAsia="宋体" w:cs="Times New Roman"/>
                <w:b/>
                <w:bCs/>
                <w:color w:val="auto"/>
                <w:highlight w:val="none"/>
                <w:lang w:val="en-US" w:eastAsia="zh-CN"/>
              </w:rPr>
              <w:t xml:space="preserve"> </w:t>
            </w:r>
            <w:r>
              <w:rPr>
                <w:rFonts w:hint="eastAsia" w:cs="Times New Roman"/>
                <w:b/>
                <w:bCs/>
                <w:color w:val="auto"/>
                <w:highlight w:val="none"/>
                <w:lang w:val="en-US" w:eastAsia="zh-CN"/>
              </w:rPr>
              <w:t>改扩建项目</w:t>
            </w:r>
            <w:r>
              <w:rPr>
                <w:rFonts w:hint="eastAsia" w:ascii="Times New Roman" w:hAnsi="Times New Roman" w:eastAsia="宋体" w:cs="Times New Roman"/>
                <w:b/>
                <w:bCs/>
                <w:color w:val="auto"/>
                <w:highlight w:val="none"/>
                <w:lang w:val="en-US" w:eastAsia="zh-CN"/>
              </w:rPr>
              <w:t>“三本账”</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70"/>
              <w:gridCol w:w="1670"/>
              <w:gridCol w:w="1670"/>
              <w:gridCol w:w="1671"/>
              <w:gridCol w:w="16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因子</w:t>
                  </w:r>
                </w:p>
              </w:tc>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现有工程（t/a）</w:t>
                  </w:r>
                </w:p>
              </w:tc>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本项目（t/a）</w:t>
                  </w:r>
                </w:p>
              </w:tc>
              <w:tc>
                <w:tcPr>
                  <w:tcW w:w="1671"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总体工程（t/a）</w:t>
                  </w:r>
                </w:p>
              </w:tc>
              <w:tc>
                <w:tcPr>
                  <w:tcW w:w="1671"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增减量（t/a）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颗粒物</w:t>
                  </w:r>
                </w:p>
              </w:tc>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0.072</w:t>
                  </w:r>
                </w:p>
              </w:tc>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c>
                <w:tcPr>
                  <w:tcW w:w="1671"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0.072</w:t>
                  </w:r>
                </w:p>
              </w:tc>
              <w:tc>
                <w:tcPr>
                  <w:tcW w:w="1671"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VOCs</w:t>
                  </w:r>
                </w:p>
              </w:tc>
              <w:tc>
                <w:tcPr>
                  <w:tcW w:w="1670" w:type="dxa"/>
                  <w:vAlign w:val="center"/>
                </w:tcPr>
                <w:p>
                  <w:pPr>
                    <w:pStyle w:val="38"/>
                    <w:jc w:val="center"/>
                    <w:rPr>
                      <w:rFonts w:hint="eastAsia"/>
                      <w:color w:val="auto"/>
                      <w:sz w:val="21"/>
                      <w:szCs w:val="21"/>
                      <w:highlight w:val="none"/>
                      <w:vertAlign w:val="baseline"/>
                      <w:lang w:val="en-US" w:eastAsia="zh-CN"/>
                    </w:rPr>
                  </w:pPr>
                  <w:r>
                    <w:rPr>
                      <w:rFonts w:hint="eastAsia"/>
                      <w:color w:val="auto"/>
                      <w:sz w:val="21"/>
                      <w:szCs w:val="21"/>
                      <w:highlight w:val="none"/>
                      <w:vertAlign w:val="baseline"/>
                      <w:lang w:val="en-US" w:eastAsia="zh-CN"/>
                    </w:rPr>
                    <w:t>0.0525</w:t>
                  </w:r>
                </w:p>
              </w:tc>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c>
                <w:tcPr>
                  <w:tcW w:w="1671" w:type="dxa"/>
                  <w:vAlign w:val="center"/>
                </w:tcPr>
                <w:p>
                  <w:pPr>
                    <w:pStyle w:val="38"/>
                    <w:jc w:val="center"/>
                    <w:rPr>
                      <w:rFonts w:hint="eastAsia"/>
                      <w:color w:val="auto"/>
                      <w:sz w:val="21"/>
                      <w:szCs w:val="21"/>
                      <w:highlight w:val="none"/>
                      <w:vertAlign w:val="baseline"/>
                      <w:lang w:val="en-US" w:eastAsia="zh-CN"/>
                    </w:rPr>
                  </w:pPr>
                  <w:r>
                    <w:rPr>
                      <w:rFonts w:hint="eastAsia"/>
                      <w:color w:val="auto"/>
                      <w:sz w:val="21"/>
                      <w:szCs w:val="21"/>
                      <w:highlight w:val="none"/>
                      <w:vertAlign w:val="baseline"/>
                      <w:lang w:val="en-US" w:eastAsia="zh-CN"/>
                    </w:rPr>
                    <w:t>0.0525</w:t>
                  </w:r>
                </w:p>
              </w:tc>
              <w:tc>
                <w:tcPr>
                  <w:tcW w:w="1671"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二氧化硫</w:t>
                  </w:r>
                </w:p>
              </w:tc>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c>
                <w:tcPr>
                  <w:tcW w:w="1671"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c>
                <w:tcPr>
                  <w:tcW w:w="1671"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氮氧化物</w:t>
                  </w:r>
                </w:p>
              </w:tc>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c>
                <w:tcPr>
                  <w:tcW w:w="1671"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c>
                <w:tcPr>
                  <w:tcW w:w="1671"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COD</w:t>
                  </w:r>
                </w:p>
              </w:tc>
              <w:tc>
                <w:tcPr>
                  <w:tcW w:w="1670" w:type="dxa"/>
                  <w:vAlign w:val="center"/>
                </w:tcPr>
                <w:p>
                  <w:pPr>
                    <w:pStyle w:val="38"/>
                    <w:jc w:val="center"/>
                    <w:rPr>
                      <w:rFonts w:hint="eastAsia"/>
                      <w:color w:val="auto"/>
                      <w:sz w:val="21"/>
                      <w:szCs w:val="21"/>
                      <w:highlight w:val="none"/>
                      <w:vertAlign w:val="baseline"/>
                      <w:lang w:val="en-US" w:eastAsia="zh-CN"/>
                    </w:rPr>
                  </w:pPr>
                  <w:r>
                    <w:rPr>
                      <w:rFonts w:hint="eastAsia"/>
                      <w:color w:val="auto"/>
                      <w:sz w:val="21"/>
                      <w:szCs w:val="21"/>
                      <w:highlight w:val="none"/>
                      <w:vertAlign w:val="baseline"/>
                      <w:lang w:val="en-US" w:eastAsia="zh-CN"/>
                    </w:rPr>
                    <w:t>0.048</w:t>
                  </w:r>
                </w:p>
              </w:tc>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c>
                <w:tcPr>
                  <w:tcW w:w="1671" w:type="dxa"/>
                  <w:vAlign w:val="center"/>
                </w:tcPr>
                <w:p>
                  <w:pPr>
                    <w:pStyle w:val="38"/>
                    <w:jc w:val="center"/>
                    <w:rPr>
                      <w:rFonts w:hint="eastAsia"/>
                      <w:color w:val="auto"/>
                      <w:sz w:val="21"/>
                      <w:szCs w:val="21"/>
                      <w:highlight w:val="none"/>
                      <w:vertAlign w:val="baseline"/>
                      <w:lang w:val="en-US" w:eastAsia="zh-CN"/>
                    </w:rPr>
                  </w:pPr>
                  <w:r>
                    <w:rPr>
                      <w:rFonts w:hint="eastAsia"/>
                      <w:color w:val="auto"/>
                      <w:sz w:val="21"/>
                      <w:szCs w:val="21"/>
                      <w:highlight w:val="none"/>
                      <w:vertAlign w:val="baseline"/>
                      <w:lang w:val="en-US" w:eastAsia="zh-CN"/>
                    </w:rPr>
                    <w:t>0.048</w:t>
                  </w:r>
                </w:p>
              </w:tc>
              <w:tc>
                <w:tcPr>
                  <w:tcW w:w="1671"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氨氮</w:t>
                  </w:r>
                </w:p>
              </w:tc>
              <w:tc>
                <w:tcPr>
                  <w:tcW w:w="1670" w:type="dxa"/>
                  <w:vAlign w:val="center"/>
                </w:tcPr>
                <w:p>
                  <w:pPr>
                    <w:pStyle w:val="38"/>
                    <w:jc w:val="center"/>
                    <w:rPr>
                      <w:rFonts w:hint="eastAsia"/>
                      <w:color w:val="auto"/>
                      <w:sz w:val="21"/>
                      <w:szCs w:val="21"/>
                      <w:highlight w:val="none"/>
                      <w:vertAlign w:val="baseline"/>
                      <w:lang w:val="en-US" w:eastAsia="zh-CN"/>
                    </w:rPr>
                  </w:pPr>
                  <w:r>
                    <w:rPr>
                      <w:rFonts w:hint="eastAsia"/>
                      <w:color w:val="auto"/>
                      <w:sz w:val="21"/>
                      <w:szCs w:val="21"/>
                      <w:highlight w:val="none"/>
                      <w:vertAlign w:val="baseline"/>
                      <w:lang w:val="en-US" w:eastAsia="zh-CN"/>
                    </w:rPr>
                    <w:t>0.003</w:t>
                  </w:r>
                </w:p>
              </w:tc>
              <w:tc>
                <w:tcPr>
                  <w:tcW w:w="1670"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c>
                <w:tcPr>
                  <w:tcW w:w="1671" w:type="dxa"/>
                  <w:vAlign w:val="center"/>
                </w:tcPr>
                <w:p>
                  <w:pPr>
                    <w:pStyle w:val="38"/>
                    <w:jc w:val="center"/>
                    <w:rPr>
                      <w:rFonts w:hint="eastAsia"/>
                      <w:color w:val="auto"/>
                      <w:sz w:val="21"/>
                      <w:szCs w:val="21"/>
                      <w:highlight w:val="none"/>
                      <w:vertAlign w:val="baseline"/>
                      <w:lang w:val="en-US" w:eastAsia="zh-CN"/>
                    </w:rPr>
                  </w:pPr>
                  <w:r>
                    <w:rPr>
                      <w:rFonts w:hint="eastAsia"/>
                      <w:color w:val="auto"/>
                      <w:sz w:val="21"/>
                      <w:szCs w:val="21"/>
                      <w:highlight w:val="none"/>
                      <w:vertAlign w:val="baseline"/>
                      <w:lang w:val="en-US" w:eastAsia="zh-CN"/>
                    </w:rPr>
                    <w:t>0.003</w:t>
                  </w:r>
                </w:p>
              </w:tc>
              <w:tc>
                <w:tcPr>
                  <w:tcW w:w="1671" w:type="dxa"/>
                  <w:vAlign w:val="center"/>
                </w:tcPr>
                <w:p>
                  <w:pPr>
                    <w:pStyle w:val="38"/>
                    <w:jc w:val="center"/>
                    <w:rPr>
                      <w:rFonts w:hint="default"/>
                      <w:color w:val="auto"/>
                      <w:sz w:val="21"/>
                      <w:szCs w:val="21"/>
                      <w:highlight w:val="none"/>
                      <w:vertAlign w:val="baseline"/>
                      <w:lang w:val="en-US" w:eastAsia="zh-CN"/>
                    </w:rPr>
                  </w:pPr>
                  <w:r>
                    <w:rPr>
                      <w:rFonts w:hint="eastAsia"/>
                      <w:color w:val="auto"/>
                      <w:sz w:val="21"/>
                      <w:szCs w:val="21"/>
                      <w:highlight w:val="none"/>
                      <w:vertAlign w:val="baseline"/>
                      <w:lang w:val="en-US" w:eastAsia="zh-CN"/>
                    </w:rPr>
                    <w:t>0</w:t>
                  </w:r>
                </w:p>
              </w:tc>
            </w:tr>
          </w:tbl>
          <w:p>
            <w:pPr>
              <w:pStyle w:val="30"/>
              <w:rPr>
                <w:rFonts w:hint="default"/>
                <w:color w:val="auto"/>
                <w:highlight w:val="none"/>
                <w:lang w:val="en-US" w:eastAsia="zh-CN"/>
              </w:rPr>
            </w:pPr>
          </w:p>
          <w:p>
            <w:pPr>
              <w:pStyle w:val="29"/>
              <w:ind w:left="0" w:leftChars="0" w:firstLine="0" w:firstLineChars="0"/>
              <w:rPr>
                <w:rFonts w:hint="default"/>
                <w:color w:val="auto"/>
                <w:highlight w:val="none"/>
                <w:lang w:val="en-US" w:eastAsia="zh-CN"/>
              </w:rPr>
            </w:pPr>
          </w:p>
        </w:tc>
      </w:tr>
    </w:tbl>
    <w:p>
      <w:pPr>
        <w:rPr>
          <w:rFonts w:hint="default" w:ascii="Times New Roman" w:hAnsi="Times New Roman" w:cs="Times New Roman"/>
          <w:color w:val="auto"/>
          <w:highlight w:val="none"/>
        </w:rPr>
        <w:sectPr>
          <w:pgSz w:w="11907" w:h="16840"/>
          <w:pgMar w:top="1701" w:right="1531" w:bottom="2127" w:left="1531" w:header="851" w:footer="851" w:gutter="0"/>
          <w:cols w:space="720" w:num="1"/>
          <w:docGrid w:linePitch="312" w:charSpace="0"/>
        </w:sectPr>
      </w:pPr>
    </w:p>
    <w:p>
      <w:pPr>
        <w:pStyle w:val="5"/>
        <w:rPr>
          <w:rFonts w:hint="default" w:ascii="Times New Roman" w:hAnsi="Times New Roman" w:cs="Times New Roman"/>
          <w:color w:val="auto"/>
          <w:highlight w:val="none"/>
        </w:rPr>
      </w:pPr>
      <w:r>
        <w:rPr>
          <w:rFonts w:hint="default" w:ascii="Times New Roman" w:hAnsi="Times New Roman" w:cs="Times New Roman"/>
          <w:color w:val="auto"/>
          <w:highlight w:val="none"/>
        </w:rPr>
        <w:t>五、</w:t>
      </w:r>
      <w:bookmarkStart w:id="1" w:name="_Hlk54167917"/>
      <w:r>
        <w:rPr>
          <w:rFonts w:hint="default" w:ascii="Times New Roman" w:hAnsi="Times New Roman" w:cs="Times New Roman"/>
          <w:color w:val="auto"/>
          <w:highlight w:val="none"/>
        </w:rPr>
        <w:t>环境保护措施监督检查清单</w:t>
      </w:r>
      <w:bookmarkEnd w:id="1"/>
    </w:p>
    <w:tbl>
      <w:tblPr>
        <w:tblStyle w:val="31"/>
        <w:tblW w:w="907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369"/>
        <w:gridCol w:w="1716"/>
        <w:gridCol w:w="1584"/>
        <w:gridCol w:w="2016"/>
        <w:gridCol w:w="238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369" w:type="dxa"/>
            <w:tcBorders>
              <w:tl2br w:val="single" w:color="auto" w:sz="4" w:space="0"/>
            </w:tcBorders>
          </w:tcPr>
          <w:p>
            <w:pPr>
              <w:keepNext w:val="0"/>
              <w:keepLines w:val="0"/>
              <w:pageBreakBefore w:val="0"/>
              <w:kinsoku/>
              <w:wordWrap/>
              <w:overflowPunct/>
              <w:topLinePunct w:val="0"/>
              <w:autoSpaceDE/>
              <w:autoSpaceDN/>
              <w:bidi w:val="0"/>
              <w:adjustRightInd w:val="0"/>
              <w:snapToGrid w:val="0"/>
              <w:spacing w:line="240" w:lineRule="auto"/>
              <w:ind w:firstLine="482" w:firstLineChars="200"/>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内容</w:t>
            </w:r>
          </w:p>
          <w:p>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要素</w:t>
            </w:r>
          </w:p>
        </w:tc>
        <w:tc>
          <w:tcPr>
            <w:tcW w:w="1716" w:type="dxa"/>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排放口(编号、</w:t>
            </w:r>
          </w:p>
          <w:p>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名称)/污染源</w:t>
            </w:r>
          </w:p>
        </w:tc>
        <w:tc>
          <w:tcPr>
            <w:tcW w:w="1584" w:type="dxa"/>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污染物项目</w:t>
            </w:r>
          </w:p>
        </w:tc>
        <w:tc>
          <w:tcPr>
            <w:tcW w:w="2016" w:type="dxa"/>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环境保护措施</w:t>
            </w:r>
          </w:p>
        </w:tc>
        <w:tc>
          <w:tcPr>
            <w:tcW w:w="2386" w:type="dxa"/>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执行标准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1369" w:type="dxa"/>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bCs/>
                <w:color w:val="auto"/>
                <w:highlight w:val="none"/>
                <w:lang w:val="en-US" w:eastAsia="zh-CN"/>
              </w:rPr>
            </w:pPr>
            <w:r>
              <w:rPr>
                <w:rFonts w:hint="eastAsia" w:cs="Times New Roman"/>
                <w:b/>
                <w:bCs/>
                <w:color w:val="auto"/>
                <w:highlight w:val="none"/>
                <w:lang w:val="en-US" w:eastAsia="zh-CN"/>
              </w:rPr>
              <w:t>大气环境</w:t>
            </w:r>
          </w:p>
        </w:tc>
        <w:tc>
          <w:tcPr>
            <w:tcW w:w="1716" w:type="dxa"/>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cs="Times New Roman"/>
                <w:color w:val="auto"/>
                <w:highlight w:val="none"/>
                <w:lang w:val="en-US" w:eastAsia="zh-CN"/>
              </w:rPr>
            </w:pPr>
            <w:r>
              <w:rPr>
                <w:rFonts w:hint="eastAsia" w:cs="Times New Roman"/>
                <w:color w:val="auto"/>
                <w:highlight w:val="none"/>
                <w:lang w:val="en-US" w:eastAsia="zh-CN"/>
              </w:rPr>
              <w:t>/</w:t>
            </w:r>
          </w:p>
        </w:tc>
        <w:tc>
          <w:tcPr>
            <w:tcW w:w="1584" w:type="dxa"/>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w:t>
            </w:r>
          </w:p>
        </w:tc>
        <w:tc>
          <w:tcPr>
            <w:tcW w:w="2016" w:type="dxa"/>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w:t>
            </w:r>
          </w:p>
        </w:tc>
        <w:tc>
          <w:tcPr>
            <w:tcW w:w="2386" w:type="dxa"/>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highlight w:val="none"/>
              </w:rPr>
            </w:pPr>
            <w:r>
              <w:rPr>
                <w:rFonts w:hint="eastAsia" w:cs="Times New Roman"/>
                <w:color w:val="auto"/>
                <w:highlight w:val="none"/>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01" w:hRule="atLeast"/>
          <w:jc w:val="center"/>
        </w:trPr>
        <w:tc>
          <w:tcPr>
            <w:tcW w:w="1369" w:type="dxa"/>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地表水环境</w:t>
            </w:r>
          </w:p>
        </w:tc>
        <w:tc>
          <w:tcPr>
            <w:tcW w:w="1716" w:type="dxa"/>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切削液添加水</w:t>
            </w:r>
          </w:p>
        </w:tc>
        <w:tc>
          <w:tcPr>
            <w:tcW w:w="1584" w:type="dxa"/>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2016" w:type="dxa"/>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2386" w:type="dxa"/>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蒸发损耗、不外排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25" w:hRule="atLeast"/>
          <w:jc w:val="center"/>
        </w:trPr>
        <w:tc>
          <w:tcPr>
            <w:tcW w:w="1369" w:type="dxa"/>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声环境</w:t>
            </w:r>
          </w:p>
        </w:tc>
        <w:tc>
          <w:tcPr>
            <w:tcW w:w="1716" w:type="dxa"/>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车间</w:t>
            </w:r>
          </w:p>
        </w:tc>
        <w:tc>
          <w:tcPr>
            <w:tcW w:w="1584" w:type="dxa"/>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等效A声级</w:t>
            </w:r>
          </w:p>
        </w:tc>
        <w:tc>
          <w:tcPr>
            <w:tcW w:w="2016" w:type="dxa"/>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建筑隔声、距离衰减、安装减振基础</w:t>
            </w:r>
          </w:p>
        </w:tc>
        <w:tc>
          <w:tcPr>
            <w:tcW w:w="2386" w:type="dxa"/>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rPr>
              <w:t>《工业企业厂界环境噪声排放标准》(GB12348—2008)中的</w:t>
            </w:r>
            <w:r>
              <w:rPr>
                <w:rFonts w:hint="eastAsia" w:cs="Times New Roman"/>
                <w:color w:val="auto"/>
                <w:highlight w:val="none"/>
                <w:lang w:val="en-US" w:eastAsia="zh-CN"/>
              </w:rPr>
              <w:t>2</w:t>
            </w:r>
            <w:r>
              <w:rPr>
                <w:rFonts w:hint="default" w:ascii="Times New Roman" w:hAnsi="Times New Roman" w:cs="Times New Roman"/>
                <w:color w:val="auto"/>
                <w:highlight w:val="none"/>
              </w:rPr>
              <w:t>类标准</w:t>
            </w:r>
            <w:r>
              <w:rPr>
                <w:rFonts w:hint="eastAsia" w:cs="Times New Roman"/>
                <w:color w:val="auto"/>
                <w:highlight w:val="none"/>
                <w:lang w:eastAsia="zh-CN"/>
              </w:rPr>
              <w:t>，</w:t>
            </w:r>
            <w:r>
              <w:rPr>
                <w:rFonts w:hint="eastAsia" w:cs="Times New Roman"/>
                <w:color w:val="auto"/>
                <w:highlight w:val="none"/>
                <w:lang w:val="en-US" w:eastAsia="zh-CN"/>
              </w:rPr>
              <w:t>夜间不生产</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369" w:type="dxa"/>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电磁辐射</w:t>
            </w:r>
          </w:p>
        </w:tc>
        <w:tc>
          <w:tcPr>
            <w:tcW w:w="7702" w:type="dxa"/>
            <w:gridSpan w:val="4"/>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16" w:hRule="atLeast"/>
          <w:jc w:val="center"/>
        </w:trPr>
        <w:tc>
          <w:tcPr>
            <w:tcW w:w="1369" w:type="dxa"/>
            <w:vAlign w:val="center"/>
          </w:tcPr>
          <w:p>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固体废物</w:t>
            </w:r>
          </w:p>
        </w:tc>
        <w:tc>
          <w:tcPr>
            <w:tcW w:w="7702" w:type="dxa"/>
            <w:gridSpan w:val="4"/>
            <w:vAlign w:val="center"/>
          </w:tcPr>
          <w:p>
            <w:pPr>
              <w:keepNext w:val="0"/>
              <w:keepLines w:val="0"/>
              <w:pageBreakBefore w:val="0"/>
              <w:kinsoku/>
              <w:wordWrap/>
              <w:overflowPunct/>
              <w:topLinePunct w:val="0"/>
              <w:autoSpaceDE/>
              <w:autoSpaceDN/>
              <w:bidi w:val="0"/>
              <w:spacing w:line="240" w:lineRule="auto"/>
              <w:ind w:firstLine="0" w:firstLineChars="0"/>
              <w:jc w:val="left"/>
              <w:textAlignment w:val="auto"/>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废边角料</w:t>
            </w:r>
            <w:r>
              <w:rPr>
                <w:rFonts w:hint="default" w:ascii="Times New Roman" w:hAnsi="Times New Roman" w:eastAsia="宋体" w:cs="Times New Roman"/>
                <w:color w:val="auto"/>
                <w:szCs w:val="21"/>
                <w:highlight w:val="none"/>
                <w:lang w:val="en-US" w:eastAsia="zh-CN"/>
              </w:rPr>
              <w:t>暂存至</w:t>
            </w:r>
            <w:r>
              <w:rPr>
                <w:rFonts w:hint="eastAsia" w:ascii="Times New Roman" w:hAnsi="Times New Roman" w:eastAsia="宋体" w:cs="Times New Roman"/>
                <w:color w:val="auto"/>
                <w:szCs w:val="21"/>
                <w:highlight w:val="none"/>
                <w:lang w:val="en-US" w:eastAsia="zh-CN"/>
              </w:rPr>
              <w:t>厂</w:t>
            </w:r>
            <w:r>
              <w:rPr>
                <w:rFonts w:hint="eastAsia" w:cs="Times New Roman"/>
                <w:color w:val="auto"/>
                <w:szCs w:val="21"/>
                <w:highlight w:val="none"/>
                <w:lang w:val="en-US" w:eastAsia="zh-CN"/>
              </w:rPr>
              <w:t>区</w:t>
            </w:r>
            <w:r>
              <w:rPr>
                <w:rFonts w:hint="eastAsia" w:ascii="Times New Roman" w:hAnsi="Times New Roman" w:eastAsia="宋体" w:cs="Times New Roman"/>
                <w:color w:val="auto"/>
                <w:szCs w:val="21"/>
                <w:highlight w:val="none"/>
                <w:lang w:val="en-US" w:eastAsia="zh-CN"/>
              </w:rPr>
              <w:t>内</w:t>
            </w:r>
            <w:r>
              <w:rPr>
                <w:rFonts w:hint="default" w:ascii="Times New Roman" w:hAnsi="Times New Roman" w:eastAsia="宋体" w:cs="Times New Roman"/>
                <w:color w:val="auto"/>
                <w:szCs w:val="21"/>
                <w:highlight w:val="none"/>
                <w:lang w:val="en-US" w:eastAsia="zh-CN"/>
              </w:rPr>
              <w:t>一般工业固体废物暂存</w:t>
            </w:r>
            <w:r>
              <w:rPr>
                <w:rFonts w:hint="eastAsia" w:ascii="Times New Roman" w:hAnsi="Times New Roman" w:eastAsia="宋体" w:cs="Times New Roman"/>
                <w:color w:val="auto"/>
                <w:szCs w:val="21"/>
                <w:highlight w:val="none"/>
                <w:lang w:val="en-US" w:eastAsia="zh-CN"/>
              </w:rPr>
              <w:t>区</w:t>
            </w:r>
            <w:r>
              <w:rPr>
                <w:rFonts w:hint="default" w:ascii="Times New Roman" w:hAnsi="Times New Roman" w:eastAsia="宋体" w:cs="Times New Roman"/>
                <w:color w:val="auto"/>
                <w:szCs w:val="21"/>
                <w:highlight w:val="none"/>
                <w:lang w:val="en-US" w:eastAsia="zh-CN"/>
              </w:rPr>
              <w:t>，定期外售</w:t>
            </w:r>
            <w:r>
              <w:rPr>
                <w:rFonts w:hint="eastAsia" w:ascii="Times New Roman" w:hAnsi="Times New Roman" w:eastAsia="宋体" w:cs="Times New Roman"/>
                <w:color w:val="auto"/>
                <w:szCs w:val="21"/>
                <w:highlight w:val="none"/>
                <w:lang w:val="en-US" w:eastAsia="zh-CN"/>
              </w:rPr>
              <w:t>；</w:t>
            </w:r>
          </w:p>
          <w:p>
            <w:pPr>
              <w:keepNext w:val="0"/>
              <w:keepLines w:val="0"/>
              <w:pageBreakBefore w:val="0"/>
              <w:kinsoku/>
              <w:wordWrap/>
              <w:overflowPunct/>
              <w:topLinePunct w:val="0"/>
              <w:autoSpaceDE/>
              <w:autoSpaceDN/>
              <w:bidi w:val="0"/>
              <w:spacing w:line="240" w:lineRule="auto"/>
              <w:ind w:firstLine="0" w:firstLineChars="0"/>
              <w:jc w:val="left"/>
              <w:textAlignment w:val="auto"/>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废切削液桶、废导轨油桶</w:t>
            </w:r>
            <w:r>
              <w:rPr>
                <w:rFonts w:hint="eastAsia" w:cs="Times New Roman"/>
                <w:color w:val="auto"/>
                <w:szCs w:val="21"/>
                <w:highlight w:val="none"/>
                <w:lang w:val="en-US" w:eastAsia="zh-CN"/>
              </w:rPr>
              <w:t>、废切削液</w:t>
            </w:r>
            <w:r>
              <w:rPr>
                <w:rFonts w:hint="default" w:ascii="Times New Roman" w:hAnsi="Times New Roman" w:eastAsia="宋体" w:cs="Times New Roman"/>
                <w:color w:val="auto"/>
                <w:szCs w:val="21"/>
                <w:highlight w:val="none"/>
                <w:lang w:val="en-US" w:eastAsia="zh-CN"/>
              </w:rPr>
              <w:t>属于</w:t>
            </w:r>
            <w:r>
              <w:rPr>
                <w:rFonts w:hint="eastAsia" w:ascii="Times New Roman" w:hAnsi="Times New Roman" w:eastAsia="宋体" w:cs="Times New Roman"/>
                <w:color w:val="auto"/>
                <w:szCs w:val="21"/>
                <w:highlight w:val="none"/>
                <w:lang w:val="en-US" w:eastAsia="zh-CN"/>
              </w:rPr>
              <w:t>危险废物</w:t>
            </w:r>
            <w:r>
              <w:rPr>
                <w:rFonts w:hint="default" w:ascii="Times New Roman" w:hAnsi="Times New Roman" w:eastAsia="宋体" w:cs="Times New Roman"/>
                <w:color w:val="auto"/>
                <w:szCs w:val="21"/>
                <w:highlight w:val="none"/>
                <w:lang w:val="en-US" w:eastAsia="zh-CN"/>
              </w:rPr>
              <w:t>，</w:t>
            </w:r>
            <w:r>
              <w:rPr>
                <w:rFonts w:hint="eastAsia" w:ascii="Times New Roman" w:hAnsi="Times New Roman" w:cs="Times New Roman"/>
                <w:color w:val="auto"/>
                <w:highlight w:val="none"/>
                <w:lang w:val="en-US" w:eastAsia="zh-CN"/>
              </w:rPr>
              <w:t>存于原有危废间内，由</w:t>
            </w:r>
            <w:r>
              <w:rPr>
                <w:rFonts w:hint="eastAsia" w:cs="Times New Roman"/>
                <w:color w:val="auto"/>
                <w:highlight w:val="none"/>
                <w:lang w:val="en-US" w:eastAsia="zh-CN"/>
              </w:rPr>
              <w:t>有资质单位定期运输并处置</w:t>
            </w:r>
            <w:r>
              <w:rPr>
                <w:rFonts w:hint="eastAsia" w:ascii="Times New Roman" w:hAnsi="Times New Roman" w:eastAsia="宋体" w:cs="Times New Roman"/>
                <w:color w:val="auto"/>
                <w:szCs w:val="21"/>
                <w:highlight w:val="none"/>
                <w:lang w:val="en-US" w:eastAsia="zh-CN"/>
              </w:rPr>
              <w:t>；废含切削液金属屑先在危废间内沥干，切削液回用于生产，金属屑变成静置后无滴漏状态后，存放于危废间内，由相应有能力利用厂家综合利用。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369"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土壤及地下水污染防治措施</w:t>
            </w:r>
          </w:p>
        </w:tc>
        <w:tc>
          <w:tcPr>
            <w:tcW w:w="1716" w:type="dxa"/>
            <w:vAlign w:val="center"/>
          </w:tcPr>
          <w:p>
            <w:pPr>
              <w:spacing w:line="240" w:lineRule="auto"/>
              <w:ind w:left="0" w:leftChars="0" w:firstLine="0" w:firstLineChars="0"/>
              <w:jc w:val="center"/>
              <w:rPr>
                <w:rFonts w:hint="default" w:ascii="Times New Roman" w:hAnsi="Times New Roman" w:eastAsia="宋体" w:cs="Times New Roman"/>
                <w:color w:val="auto"/>
                <w:highlight w:val="none"/>
                <w:lang w:eastAsia="zh-CN"/>
              </w:rPr>
            </w:pPr>
            <w:r>
              <w:rPr>
                <w:rFonts w:hint="eastAsia" w:cs="Times New Roman"/>
                <w:bCs/>
                <w:color w:val="auto"/>
                <w:szCs w:val="21"/>
                <w:highlight w:val="none"/>
                <w:lang w:val="en-US" w:eastAsia="zh-CN"/>
              </w:rPr>
              <w:t>危废间</w:t>
            </w:r>
          </w:p>
        </w:tc>
        <w:tc>
          <w:tcPr>
            <w:tcW w:w="5986" w:type="dxa"/>
            <w:gridSpan w:val="3"/>
            <w:vAlign w:val="center"/>
          </w:tcPr>
          <w:p>
            <w:pPr>
              <w:spacing w:line="240" w:lineRule="auto"/>
              <w:ind w:left="0" w:leftChars="0" w:firstLine="0" w:firstLineChars="0"/>
              <w:jc w:val="center"/>
              <w:rPr>
                <w:rFonts w:hint="default" w:ascii="Times New Roman" w:hAnsi="Times New Roman" w:cs="Times New Roman"/>
                <w:bCs/>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防渗层参照GB18598-2019执行，采用防渗系数需≤10</w:t>
            </w:r>
            <w:r>
              <w:rPr>
                <w:rFonts w:hint="default" w:ascii="Times New Roman" w:hAnsi="Times New Roman" w:eastAsia="宋体" w:cs="Times New Roman"/>
                <w:color w:val="auto"/>
                <w:szCs w:val="21"/>
                <w:highlight w:val="none"/>
                <w:vertAlign w:val="superscript"/>
                <w:lang w:val="en-US" w:eastAsia="zh-CN"/>
              </w:rPr>
              <w:t>-10</w:t>
            </w:r>
            <w:r>
              <w:rPr>
                <w:rFonts w:hint="default" w:ascii="Times New Roman" w:hAnsi="Times New Roman" w:eastAsia="宋体" w:cs="Times New Roman"/>
                <w:color w:val="auto"/>
                <w:szCs w:val="21"/>
                <w:highlight w:val="none"/>
                <w:lang w:val="en-US" w:eastAsia="zh-CN"/>
              </w:rPr>
              <w:t>cm/s，防渗层为至少1米厚粘土层（渗透系数≤10</w:t>
            </w:r>
            <w:r>
              <w:rPr>
                <w:rFonts w:hint="default" w:ascii="Times New Roman" w:hAnsi="Times New Roman" w:eastAsia="宋体" w:cs="Times New Roman"/>
                <w:color w:val="auto"/>
                <w:szCs w:val="21"/>
                <w:highlight w:val="none"/>
                <w:vertAlign w:val="superscript"/>
                <w:lang w:val="en-US" w:eastAsia="zh-CN"/>
              </w:rPr>
              <w:t>-7</w:t>
            </w:r>
            <w:r>
              <w:rPr>
                <w:rFonts w:hint="default" w:ascii="Times New Roman" w:hAnsi="Times New Roman" w:eastAsia="宋体" w:cs="Times New Roman"/>
                <w:color w:val="auto"/>
                <w:szCs w:val="21"/>
                <w:highlight w:val="none"/>
                <w:lang w:val="en-US" w:eastAsia="zh-CN"/>
              </w:rPr>
              <w:t>厘米/秒），或2毫米厚高密度聚丙烯，或至少2毫米厚的其它人工材料。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369"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生态保护措施</w:t>
            </w:r>
          </w:p>
        </w:tc>
        <w:tc>
          <w:tcPr>
            <w:tcW w:w="7702" w:type="dxa"/>
            <w:gridSpan w:val="4"/>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cs="Times New Roman"/>
                <w:bCs/>
                <w:color w:val="auto"/>
                <w:szCs w:val="21"/>
                <w:highlight w:val="none"/>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369" w:type="dxa"/>
            <w:vAlign w:val="center"/>
          </w:tcPr>
          <w:p>
            <w:pPr>
              <w:pStyle w:val="6"/>
              <w:keepNext w:val="0"/>
              <w:keepLines w:val="0"/>
              <w:pageBreakBefore w:val="0"/>
              <w:widowControl w:val="0"/>
              <w:kinsoku/>
              <w:wordWrap/>
              <w:overflowPunct/>
              <w:topLinePunct w:val="0"/>
              <w:autoSpaceDE/>
              <w:autoSpaceDN/>
              <w:bidi w:val="0"/>
              <w:spacing w:line="240" w:lineRule="auto"/>
              <w:ind w:firstLine="0" w:firstLineChars="0"/>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环境风险</w:t>
            </w:r>
          </w:p>
          <w:p>
            <w:pPr>
              <w:pStyle w:val="6"/>
              <w:keepNext w:val="0"/>
              <w:keepLines w:val="0"/>
              <w:pageBreakBefore w:val="0"/>
              <w:widowControl w:val="0"/>
              <w:kinsoku/>
              <w:wordWrap/>
              <w:overflowPunct/>
              <w:topLinePunct w:val="0"/>
              <w:autoSpaceDE/>
              <w:autoSpaceDN/>
              <w:bidi w:val="0"/>
              <w:spacing w:line="240" w:lineRule="auto"/>
              <w:ind w:firstLine="0" w:firstLineChars="0"/>
              <w:textAlignment w:val="auto"/>
              <w:rPr>
                <w:rFonts w:hint="default" w:ascii="Times New Roman" w:hAnsi="Times New Roman" w:cs="Times New Roman"/>
                <w:bCs/>
                <w:color w:val="auto"/>
                <w:spacing w:val="-8"/>
                <w:highlight w:val="none"/>
              </w:rPr>
            </w:pPr>
            <w:r>
              <w:rPr>
                <w:rFonts w:hint="default" w:ascii="Times New Roman" w:hAnsi="Times New Roman" w:cs="Times New Roman"/>
                <w:color w:val="auto"/>
                <w:highlight w:val="none"/>
              </w:rPr>
              <w:t>防范措施</w:t>
            </w:r>
          </w:p>
        </w:tc>
        <w:tc>
          <w:tcPr>
            <w:tcW w:w="7702" w:type="dxa"/>
            <w:gridSpan w:val="4"/>
            <w:vAlign w:val="center"/>
          </w:tcPr>
          <w:p>
            <w:pPr>
              <w:spacing w:line="240" w:lineRule="auto"/>
              <w:ind w:left="0" w:leftChars="0" w:firstLine="0" w:firstLineChars="0"/>
              <w:jc w:val="center"/>
              <w:rPr>
                <w:rFonts w:hint="default" w:ascii="Times New Roman" w:hAnsi="Times New Roman" w:eastAsia="宋体" w:cs="Times New Roman"/>
                <w:bCs/>
                <w:color w:val="auto"/>
                <w:kern w:val="2"/>
                <w:sz w:val="24"/>
                <w:szCs w:val="21"/>
                <w:highlight w:val="none"/>
                <w:lang w:val="en-US" w:eastAsia="zh-CN" w:bidi="ar-SA"/>
              </w:rPr>
            </w:pPr>
            <w:r>
              <w:rPr>
                <w:rFonts w:hint="default" w:ascii="Times New Roman" w:hAnsi="Times New Roman" w:eastAsia="宋体" w:cs="Times New Roman"/>
                <w:bCs/>
                <w:color w:val="auto"/>
                <w:szCs w:val="21"/>
                <w:highlight w:val="none"/>
                <w:lang w:val="en-US" w:eastAsia="zh-CN"/>
              </w:rPr>
              <w:t>加强日常监控，组织专人负责</w:t>
            </w:r>
            <w:r>
              <w:rPr>
                <w:rFonts w:hint="eastAsia" w:ascii="Times New Roman" w:hAnsi="Times New Roman" w:eastAsia="宋体" w:cs="Times New Roman"/>
                <w:bCs/>
                <w:color w:val="auto"/>
                <w:szCs w:val="21"/>
                <w:highlight w:val="none"/>
                <w:lang w:val="en-US" w:eastAsia="zh-CN"/>
              </w:rPr>
              <w:t>危险废物暂存间</w:t>
            </w:r>
            <w:r>
              <w:rPr>
                <w:rFonts w:hint="default" w:ascii="Times New Roman" w:hAnsi="Times New Roman" w:eastAsia="宋体" w:cs="Times New Roman"/>
                <w:bCs/>
                <w:color w:val="auto"/>
                <w:szCs w:val="21"/>
                <w:highlight w:val="none"/>
                <w:lang w:val="en-US" w:eastAsia="zh-CN"/>
              </w:rPr>
              <w:t>安全；加强劳动安全卫生管理，做好环境应急防范措施。</w:t>
            </w:r>
            <w:r>
              <w:rPr>
                <w:rFonts w:hint="eastAsia" w:ascii="Times New Roman" w:hAnsi="Times New Roman" w:eastAsia="宋体" w:cs="Times New Roman"/>
                <w:bCs/>
                <w:color w:val="auto"/>
                <w:szCs w:val="21"/>
                <w:highlight w:val="none"/>
                <w:lang w:val="en-US" w:eastAsia="zh-CN"/>
              </w:rPr>
              <w:t>环评阶段结束后，按要求编制</w:t>
            </w:r>
            <w:r>
              <w:rPr>
                <w:rFonts w:hint="eastAsia" w:cs="Times New Roman"/>
                <w:bCs/>
                <w:color w:val="auto"/>
                <w:szCs w:val="21"/>
                <w:highlight w:val="none"/>
                <w:lang w:val="en-US" w:eastAsia="zh-CN"/>
              </w:rPr>
              <w:t>突发环境事件</w:t>
            </w:r>
            <w:r>
              <w:rPr>
                <w:rFonts w:hint="eastAsia" w:ascii="Times New Roman" w:hAnsi="Times New Roman" w:eastAsia="宋体" w:cs="Times New Roman"/>
                <w:bCs/>
                <w:color w:val="auto"/>
                <w:szCs w:val="21"/>
                <w:highlight w:val="none"/>
                <w:lang w:val="en-US" w:eastAsia="zh-CN"/>
              </w:rPr>
              <w:t>应急预案。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8" w:hRule="atLeast"/>
          <w:jc w:val="center"/>
        </w:trPr>
        <w:tc>
          <w:tcPr>
            <w:tcW w:w="1369"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pacing w:val="-8"/>
                <w:szCs w:val="21"/>
                <w:highlight w:val="none"/>
              </w:rPr>
            </w:pPr>
            <w:r>
              <w:rPr>
                <w:rFonts w:hint="default" w:ascii="Times New Roman" w:hAnsi="Times New Roman" w:cs="Times New Roman"/>
                <w:b/>
                <w:bCs/>
                <w:color w:val="auto"/>
                <w:spacing w:val="-8"/>
                <w:szCs w:val="21"/>
                <w:highlight w:val="none"/>
              </w:rPr>
              <w:t>其他环境</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pacing w:val="-8"/>
                <w:szCs w:val="21"/>
                <w:highlight w:val="none"/>
              </w:rPr>
            </w:pPr>
            <w:r>
              <w:rPr>
                <w:rFonts w:hint="default" w:ascii="Times New Roman" w:hAnsi="Times New Roman" w:cs="Times New Roman"/>
                <w:b/>
                <w:bCs/>
                <w:color w:val="auto"/>
                <w:spacing w:val="-8"/>
                <w:szCs w:val="21"/>
                <w:highlight w:val="none"/>
              </w:rPr>
              <w:t>管理要求</w:t>
            </w:r>
          </w:p>
        </w:tc>
        <w:tc>
          <w:tcPr>
            <w:tcW w:w="7702" w:type="dxa"/>
            <w:gridSpan w:val="4"/>
            <w:vAlign w:val="center"/>
          </w:tcPr>
          <w:p>
            <w:pPr>
              <w:spacing w:line="240" w:lineRule="auto"/>
              <w:ind w:firstLine="480" w:firstLineChars="200"/>
              <w:jc w:val="both"/>
              <w:rPr>
                <w:rFonts w:hint="default" w:ascii="Times New Roman" w:hAnsi="Times New Roman" w:cs="Times New Roman"/>
                <w:color w:val="auto"/>
                <w:highlight w:val="none"/>
              </w:rPr>
            </w:pPr>
            <w:r>
              <w:rPr>
                <w:rFonts w:hint="default" w:ascii="Times New Roman" w:hAnsi="Times New Roman" w:cs="Times New Roman"/>
                <w:color w:val="auto"/>
                <w:highlight w:val="none"/>
              </w:rPr>
              <w:t>①排污口管理制度：按照《排污口规范化要求》设置便于采样、监测的采样口。采样口设置应符合《污染源监测技术规范》要求；必须按照国家标准《环境保护图形标志》（GB15562.1-1995）的规定。</w:t>
            </w:r>
          </w:p>
          <w:p>
            <w:pPr>
              <w:spacing w:line="240" w:lineRule="auto"/>
              <w:ind w:firstLine="480" w:firstLineChars="200"/>
              <w:jc w:val="both"/>
              <w:rPr>
                <w:rFonts w:hint="default" w:ascii="Times New Roman" w:hAnsi="Times New Roman" w:cs="Times New Roman"/>
                <w:color w:val="auto"/>
                <w:highlight w:val="none"/>
              </w:rPr>
            </w:pPr>
            <w:r>
              <w:rPr>
                <w:rFonts w:hint="default" w:ascii="Times New Roman" w:hAnsi="Times New Roman" w:cs="Times New Roman"/>
                <w:color w:val="auto"/>
                <w:highlight w:val="none"/>
              </w:rPr>
              <w:t>②环保管理制度：企业应制定环境保护规章制度，由专人负责，环保管理制度。</w:t>
            </w:r>
          </w:p>
          <w:p>
            <w:pPr>
              <w:spacing w:line="240" w:lineRule="auto"/>
              <w:ind w:firstLine="480" w:firstLineChars="200"/>
              <w:jc w:val="both"/>
              <w:rPr>
                <w:rFonts w:hint="default" w:ascii="Times New Roman" w:hAnsi="Times New Roman" w:cs="Times New Roman"/>
                <w:color w:val="auto"/>
                <w:highlight w:val="none"/>
              </w:rPr>
            </w:pPr>
            <w:r>
              <w:rPr>
                <w:rFonts w:hint="default" w:ascii="Times New Roman" w:hAnsi="Times New Roman" w:cs="Times New Roman"/>
                <w:color w:val="auto"/>
                <w:highlight w:val="none"/>
              </w:rPr>
              <w:t>③竣工验收制度：根据《建设项目竣工环境保护验收暂行办法》，建设项目配套建设的环境保护设施竣工后，公开竣工日期；对配套建设的环境保护设施进行调试前，公开调试的起止日期；验收报告编制完成后5个工作日内，公开验收报告，公示的期限不得少于20个工作日；建设单位公开上述信息的同时，应当向所在地县级以上环境保护主管部门报送相关信息，并接受监督检查。</w:t>
            </w:r>
          </w:p>
          <w:p>
            <w:pPr>
              <w:spacing w:line="240" w:lineRule="auto"/>
              <w:ind w:firstLine="480" w:firstLineChars="200"/>
              <w:jc w:val="both"/>
              <w:rPr>
                <w:rFonts w:hint="default" w:ascii="Times New Roman" w:hAnsi="Times New Roman" w:eastAsia="黑体" w:cs="Times New Roman"/>
                <w:color w:val="auto"/>
                <w:highlight w:val="none"/>
                <w:lang w:val="en-US" w:eastAsia="zh-CN"/>
              </w:rPr>
            </w:pPr>
            <w:r>
              <w:rPr>
                <w:rFonts w:hint="default" w:ascii="Times New Roman" w:hAnsi="Times New Roman" w:cs="Times New Roman"/>
                <w:color w:val="auto"/>
                <w:highlight w:val="none"/>
              </w:rPr>
              <w:t>④</w:t>
            </w:r>
            <w:r>
              <w:rPr>
                <w:color w:val="auto"/>
                <w:szCs w:val="21"/>
                <w:highlight w:val="none"/>
              </w:rPr>
              <w:t>建设项目发生实际排污行为之前，排污单位应当按照国家环境保护相关法律法规以及排污许可证申请与核发技术规范要求</w:t>
            </w:r>
            <w:r>
              <w:rPr>
                <w:rFonts w:hint="eastAsia"/>
                <w:color w:val="auto"/>
                <w:szCs w:val="21"/>
                <w:highlight w:val="none"/>
                <w:lang w:val="en-US" w:eastAsia="zh-CN"/>
              </w:rPr>
              <w:t>变更</w:t>
            </w:r>
            <w:r>
              <w:rPr>
                <w:color w:val="auto"/>
                <w:szCs w:val="21"/>
                <w:highlight w:val="none"/>
              </w:rPr>
              <w:t>排污许可证，不得无证排污或不按证排污。</w:t>
            </w:r>
          </w:p>
        </w:tc>
      </w:tr>
    </w:tbl>
    <w:p>
      <w:pPr>
        <w:pStyle w:val="5"/>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br w:type="page"/>
      </w:r>
      <w:r>
        <w:rPr>
          <w:rFonts w:hint="default" w:ascii="Times New Roman" w:hAnsi="Times New Roman" w:cs="Times New Roman"/>
          <w:snapToGrid w:val="0"/>
          <w:color w:val="auto"/>
          <w:highlight w:val="none"/>
        </w:rPr>
        <w:t>六、结论</w:t>
      </w:r>
    </w:p>
    <w:tbl>
      <w:tblPr>
        <w:tblStyle w:val="31"/>
        <w:tblW w:w="907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07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91" w:hRule="atLeast"/>
          <w:jc w:val="center"/>
        </w:trPr>
        <w:tc>
          <w:tcPr>
            <w:tcW w:w="8865" w:type="dxa"/>
            <w:vAlign w:val="center"/>
          </w:tcPr>
          <w:p>
            <w:pPr>
              <w:pStyle w:val="7"/>
              <w:rPr>
                <w:rFonts w:hint="default" w:ascii="Times New Roman" w:hAnsi="Times New Roman" w:cs="Times New Roman"/>
                <w:color w:val="auto"/>
                <w:highlight w:val="none"/>
              </w:rPr>
            </w:pPr>
            <w:r>
              <w:rPr>
                <w:rFonts w:hint="default" w:ascii="Times New Roman" w:hAnsi="Times New Roman" w:cs="Times New Roman"/>
                <w:color w:val="auto"/>
                <w:highlight w:val="none"/>
              </w:rPr>
              <w:t>结论</w:t>
            </w:r>
          </w:p>
          <w:p>
            <w:pPr>
              <w:pStyle w:val="7"/>
              <w:tabs>
                <w:tab w:val="left" w:pos="3262"/>
              </w:tabs>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rPr>
              <w:t>1 项目概况</w:t>
            </w:r>
            <w:r>
              <w:rPr>
                <w:rFonts w:hint="eastAsia" w:cs="Times New Roman"/>
                <w:color w:val="auto"/>
                <w:highlight w:val="none"/>
                <w:lang w:eastAsia="zh-CN"/>
              </w:rPr>
              <w:tab/>
            </w:r>
          </w:p>
          <w:p>
            <w:pPr>
              <w:pStyle w:val="8"/>
              <w:rPr>
                <w:rFonts w:hint="default" w:ascii="Times New Roman" w:hAnsi="Times New Roman" w:cs="Times New Roman"/>
                <w:color w:val="auto"/>
                <w:highlight w:val="none"/>
              </w:rPr>
            </w:pPr>
            <w:r>
              <w:rPr>
                <w:rFonts w:hint="default" w:ascii="Times New Roman" w:hAnsi="Times New Roman" w:cs="Times New Roman"/>
                <w:color w:val="auto"/>
                <w:highlight w:val="none"/>
              </w:rPr>
              <w:t>1.1 项目概述</w:t>
            </w:r>
          </w:p>
          <w:p>
            <w:pPr>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项目属于</w:t>
            </w:r>
            <w:r>
              <w:rPr>
                <w:rFonts w:hint="eastAsia" w:cs="Times New Roman"/>
                <w:color w:val="auto"/>
                <w:highlight w:val="none"/>
                <w:lang w:val="en-US" w:eastAsia="zh-CN"/>
              </w:rPr>
              <w:t>扩建</w:t>
            </w:r>
            <w:r>
              <w:rPr>
                <w:rFonts w:hint="default" w:ascii="Times New Roman" w:hAnsi="Times New Roman" w:cs="Times New Roman"/>
                <w:color w:val="auto"/>
                <w:highlight w:val="none"/>
              </w:rPr>
              <w:t>项目，总投资</w:t>
            </w:r>
            <w:r>
              <w:rPr>
                <w:rFonts w:hint="eastAsia" w:cs="Times New Roman"/>
                <w:color w:val="auto"/>
                <w:highlight w:val="none"/>
                <w:lang w:val="en-US" w:eastAsia="zh-CN"/>
              </w:rPr>
              <w:t>350</w:t>
            </w:r>
            <w:r>
              <w:rPr>
                <w:rFonts w:hint="default" w:ascii="Times New Roman" w:hAnsi="Times New Roman" w:cs="Times New Roman"/>
                <w:color w:val="auto"/>
                <w:highlight w:val="none"/>
              </w:rPr>
              <w:t>万元，其中环保投资</w:t>
            </w:r>
            <w:r>
              <w:rPr>
                <w:rFonts w:hint="eastAsia" w:cs="Times New Roman"/>
                <w:color w:val="auto"/>
                <w:highlight w:val="none"/>
                <w:lang w:val="en-US" w:eastAsia="zh-CN"/>
              </w:rPr>
              <w:t>1</w:t>
            </w:r>
            <w:r>
              <w:rPr>
                <w:rFonts w:hint="default" w:ascii="Times New Roman" w:hAnsi="Times New Roman" w:cs="Times New Roman"/>
                <w:color w:val="auto"/>
                <w:highlight w:val="none"/>
              </w:rPr>
              <w:t>万元，占总投资的</w:t>
            </w:r>
            <w:r>
              <w:rPr>
                <w:rFonts w:hint="eastAsia" w:cs="Times New Roman"/>
                <w:color w:val="auto"/>
                <w:highlight w:val="none"/>
                <w:lang w:val="en-US" w:eastAsia="zh-CN"/>
              </w:rPr>
              <w:t>0.29</w:t>
            </w:r>
            <w:r>
              <w:rPr>
                <w:rFonts w:hint="default" w:ascii="Times New Roman" w:hAnsi="Times New Roman" w:cs="Times New Roman"/>
                <w:color w:val="auto"/>
                <w:highlight w:val="none"/>
              </w:rPr>
              <w:t>%。</w:t>
            </w:r>
          </w:p>
          <w:p>
            <w:pPr>
              <w:pStyle w:val="8"/>
              <w:rPr>
                <w:rFonts w:hint="default" w:ascii="Times New Roman" w:hAnsi="Times New Roman" w:cs="Times New Roman"/>
                <w:color w:val="auto"/>
                <w:highlight w:val="none"/>
              </w:rPr>
            </w:pPr>
            <w:r>
              <w:rPr>
                <w:rFonts w:hint="default" w:ascii="Times New Roman" w:hAnsi="Times New Roman" w:cs="Times New Roman"/>
                <w:color w:val="auto"/>
                <w:highlight w:val="none"/>
              </w:rPr>
              <w:t>1.2 项目选址</w:t>
            </w:r>
          </w:p>
          <w:p>
            <w:pPr>
              <w:spacing w:line="360" w:lineRule="auto"/>
              <w:ind w:firstLine="480" w:firstLineChars="200"/>
              <w:jc w:val="both"/>
              <w:rPr>
                <w:rFonts w:hint="default" w:ascii="Times New Roman" w:hAnsi="Times New Roman" w:cs="Times New Roman"/>
                <w:color w:val="auto"/>
                <w:highlight w:val="none"/>
              </w:rPr>
            </w:pPr>
            <w:r>
              <w:rPr>
                <w:rFonts w:eastAsia="宋体"/>
                <w:color w:val="auto"/>
                <w:highlight w:val="none"/>
              </w:rPr>
              <w:t>本项目位于</w:t>
            </w:r>
            <w:r>
              <w:rPr>
                <w:rFonts w:hint="eastAsia" w:cs="Times New Roman"/>
                <w:color w:val="auto"/>
                <w:highlight w:val="none"/>
                <w:lang w:val="en-US" w:eastAsia="zh-CN"/>
              </w:rPr>
              <w:t>秦皇岛经济技术开发区天山北路8号</w:t>
            </w:r>
            <w:r>
              <w:rPr>
                <w:rFonts w:eastAsia="宋体"/>
                <w:color w:val="auto"/>
                <w:highlight w:val="none"/>
              </w:rPr>
              <w:t>，厂址中心坐标为</w:t>
            </w:r>
            <w:r>
              <w:rPr>
                <w:rFonts w:hint="default" w:ascii="Times New Roman" w:hAnsi="Times New Roman" w:eastAsia="宋体" w:cs="Times New Roman"/>
                <w:color w:val="auto"/>
                <w:highlight w:val="none"/>
                <w:lang w:val="en-US" w:eastAsia="zh-CN"/>
              </w:rPr>
              <w:t>北纬39°55′48.56</w:t>
            </w:r>
            <w:r>
              <w:rPr>
                <w:rFonts w:hint="eastAsia" w:ascii="Times New Roman" w:hAnsi="Times New Roman" w:eastAsia="宋体" w:cs="Times New Roman"/>
                <w:color w:val="auto"/>
                <w:highlight w:val="none"/>
                <w:lang w:val="en-US" w:eastAsia="zh-CN"/>
              </w:rPr>
              <w:t>3</w:t>
            </w:r>
            <w:r>
              <w:rPr>
                <w:rFonts w:hint="default" w:ascii="Times New Roman" w:hAnsi="Times New Roman" w:eastAsia="宋体" w:cs="Times New Roman"/>
                <w:color w:val="auto"/>
                <w:highlight w:val="none"/>
                <w:lang w:val="en-US" w:eastAsia="zh-CN"/>
              </w:rPr>
              <w:t>″、东经119°30′21.54</w:t>
            </w:r>
            <w:r>
              <w:rPr>
                <w:rFonts w:hint="eastAsia" w:ascii="Times New Roman" w:hAnsi="Times New Roman" w:eastAsia="宋体" w:cs="Times New Roman"/>
                <w:color w:val="auto"/>
                <w:highlight w:val="none"/>
                <w:lang w:val="en-US" w:eastAsia="zh-CN"/>
              </w:rPr>
              <w:t>7</w:t>
            </w:r>
            <w:r>
              <w:rPr>
                <w:rFonts w:hint="default" w:ascii="Times New Roman" w:hAnsi="Times New Roman" w:eastAsia="宋体" w:cs="Times New Roman"/>
                <w:color w:val="auto"/>
                <w:highlight w:val="none"/>
                <w:lang w:val="en-US" w:eastAsia="zh-CN"/>
              </w:rPr>
              <w:t>″</w:t>
            </w:r>
            <w:r>
              <w:rPr>
                <w:rFonts w:hint="eastAsia" w:cs="Times New Roman"/>
                <w:color w:val="auto"/>
                <w:highlight w:val="none"/>
                <w:lang w:eastAsia="zh-CN"/>
              </w:rPr>
              <w:t>，</w:t>
            </w:r>
            <w:r>
              <w:rPr>
                <w:rFonts w:hint="default" w:ascii="Times New Roman" w:hAnsi="Times New Roman" w:cs="Times New Roman"/>
                <w:color w:val="auto"/>
                <w:highlight w:val="none"/>
              </w:rPr>
              <w:t>项目北侧</w:t>
            </w:r>
            <w:r>
              <w:rPr>
                <w:rFonts w:hint="eastAsia" w:ascii="Times New Roman" w:hAnsi="Times New Roman" w:cs="Times New Roman"/>
                <w:color w:val="auto"/>
                <w:highlight w:val="none"/>
                <w:lang w:eastAsia="zh-CN"/>
              </w:rPr>
              <w:t>为</w:t>
            </w:r>
            <w:r>
              <w:rPr>
                <w:rFonts w:hint="eastAsia" w:ascii="Times New Roman" w:hAnsi="Times New Roman" w:cs="Times New Roman"/>
                <w:color w:val="auto"/>
                <w:highlight w:val="none"/>
              </w:rPr>
              <w:t>秦皇岛利达产业有限公司</w:t>
            </w:r>
            <w:r>
              <w:rPr>
                <w:rFonts w:hint="eastAsia" w:ascii="Times New Roman" w:hAnsi="Times New Roman" w:cs="Times New Roman"/>
                <w:color w:val="auto"/>
                <w:highlight w:val="none"/>
                <w:lang w:eastAsia="zh-CN"/>
              </w:rPr>
              <w:t>和</w:t>
            </w:r>
            <w:r>
              <w:rPr>
                <w:rFonts w:hint="default" w:ascii="Times New Roman" w:hAnsi="Times New Roman" w:cs="Times New Roman"/>
                <w:color w:val="auto"/>
                <w:highlight w:val="none"/>
              </w:rPr>
              <w:t>南侧为</w:t>
            </w:r>
            <w:r>
              <w:rPr>
                <w:rFonts w:hint="eastAsia" w:ascii="Times New Roman" w:hAnsi="Times New Roman" w:cs="Times New Roman"/>
                <w:color w:val="auto"/>
                <w:highlight w:val="none"/>
                <w:lang w:eastAsia="zh-CN"/>
              </w:rPr>
              <w:t>秦皇岛开发区干将自动化机械制造有限公司</w:t>
            </w:r>
            <w:r>
              <w:rPr>
                <w:rFonts w:hint="default" w:ascii="Times New Roman" w:hAnsi="Times New Roman" w:cs="Times New Roman"/>
                <w:color w:val="auto"/>
                <w:highlight w:val="none"/>
              </w:rPr>
              <w:t>、西侧为</w:t>
            </w:r>
            <w:r>
              <w:rPr>
                <w:rFonts w:hint="eastAsia" w:ascii="Times New Roman" w:hAnsi="Times New Roman" w:cs="Times New Roman"/>
                <w:color w:val="auto"/>
                <w:highlight w:val="none"/>
                <w:lang w:eastAsia="zh-CN"/>
              </w:rPr>
              <w:t>天山北路</w:t>
            </w:r>
            <w:r>
              <w:rPr>
                <w:rFonts w:hint="default" w:ascii="Times New Roman" w:hAnsi="Times New Roman" w:cs="Times New Roman"/>
                <w:color w:val="auto"/>
                <w:highlight w:val="none"/>
              </w:rPr>
              <w:t>、</w:t>
            </w:r>
            <w:r>
              <w:rPr>
                <w:rFonts w:hint="eastAsia" w:ascii="Times New Roman" w:hAnsi="Times New Roman" w:cs="Times New Roman"/>
                <w:color w:val="auto"/>
                <w:highlight w:val="none"/>
                <w:lang w:eastAsia="zh-CN"/>
              </w:rPr>
              <w:t>东侧</w:t>
            </w:r>
            <w:r>
              <w:rPr>
                <w:rFonts w:hint="eastAsia" w:ascii="Times New Roman" w:hAnsi="Times New Roman" w:cs="Times New Roman"/>
                <w:color w:val="auto"/>
                <w:highlight w:val="none"/>
                <w:lang w:val="en-US" w:eastAsia="zh-CN"/>
              </w:rPr>
              <w:t>为其他企业</w:t>
            </w:r>
            <w:r>
              <w:rPr>
                <w:rFonts w:hint="eastAsia" w:cs="Times New Roman"/>
                <w:color w:val="auto"/>
                <w:sz w:val="24"/>
                <w:highlight w:val="none"/>
                <w:lang w:val="en-US" w:eastAsia="zh-CN"/>
              </w:rPr>
              <w:t>。</w:t>
            </w:r>
          </w:p>
          <w:p>
            <w:pPr>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w:t>
            </w:r>
            <w:r>
              <w:rPr>
                <w:rFonts w:hint="eastAsia" w:cs="Times New Roman"/>
                <w:color w:val="auto"/>
                <w:highlight w:val="none"/>
                <w:lang w:val="en-US" w:eastAsia="zh-CN"/>
              </w:rPr>
              <w:t>利用现有土地、厂房</w:t>
            </w:r>
            <w:r>
              <w:rPr>
                <w:rFonts w:hint="default" w:ascii="Times New Roman" w:hAnsi="Times New Roman" w:cs="Times New Roman"/>
                <w:color w:val="auto"/>
                <w:highlight w:val="none"/>
              </w:rPr>
              <w:t>，不新征土地，厂内基础设施满足项目</w:t>
            </w:r>
            <w:r>
              <w:rPr>
                <w:rFonts w:hint="eastAsia" w:cs="Times New Roman"/>
                <w:color w:val="auto"/>
                <w:highlight w:val="none"/>
                <w:lang w:val="en-US" w:eastAsia="zh-CN"/>
              </w:rPr>
              <w:t>要求</w:t>
            </w:r>
            <w:r>
              <w:rPr>
                <w:rFonts w:hint="default" w:ascii="Times New Roman" w:hAnsi="Times New Roman" w:cs="Times New Roman"/>
                <w:color w:val="auto"/>
                <w:highlight w:val="none"/>
              </w:rPr>
              <w:t>，用地类型为</w:t>
            </w:r>
            <w:r>
              <w:rPr>
                <w:rFonts w:hint="eastAsia" w:cs="Times New Roman"/>
                <w:color w:val="auto"/>
                <w:highlight w:val="none"/>
                <w:lang w:val="en-US" w:eastAsia="zh-CN"/>
              </w:rPr>
              <w:t>其他、办公、工交仓储用地</w:t>
            </w:r>
            <w:r>
              <w:rPr>
                <w:rFonts w:hint="default" w:ascii="Times New Roman" w:hAnsi="Times New Roman" w:cs="Times New Roman"/>
                <w:color w:val="auto"/>
                <w:highlight w:val="none"/>
              </w:rPr>
              <w:t>，符合规划</w:t>
            </w:r>
            <w:r>
              <w:rPr>
                <w:rFonts w:hint="eastAsia" w:cs="Times New Roman"/>
                <w:color w:val="auto"/>
                <w:highlight w:val="none"/>
                <w:lang w:val="en-US" w:eastAsia="zh-CN"/>
              </w:rPr>
              <w:t>要求，项目选址可行</w:t>
            </w:r>
            <w:r>
              <w:rPr>
                <w:rFonts w:hint="default" w:ascii="Times New Roman" w:hAnsi="Times New Roman" w:cs="Times New Roman"/>
                <w:color w:val="auto"/>
                <w:highlight w:val="none"/>
              </w:rPr>
              <w:t>。</w:t>
            </w:r>
          </w:p>
          <w:p>
            <w:pPr>
              <w:pStyle w:val="8"/>
              <w:rPr>
                <w:rFonts w:hint="default" w:ascii="Times New Roman" w:hAnsi="Times New Roman" w:cs="Times New Roman"/>
                <w:color w:val="auto"/>
                <w:highlight w:val="none"/>
              </w:rPr>
            </w:pPr>
            <w:r>
              <w:rPr>
                <w:rFonts w:hint="default" w:ascii="Times New Roman" w:hAnsi="Times New Roman" w:cs="Times New Roman"/>
                <w:color w:val="auto"/>
                <w:highlight w:val="none"/>
              </w:rPr>
              <w:t>1.3 建设内容与产业政策</w:t>
            </w:r>
          </w:p>
          <w:p>
            <w:pPr>
              <w:ind w:firstLine="480" w:firstLineChars="20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企业利用现有厂房场地，购置主要生产设备共16台套（包括数控加工中心、龙门刨铣床、螺杆空压机等），投资350万元建设本项目，本项目建设完成后年加工轮毂及铝制品10000件，年产加工后的钢板500t。</w:t>
            </w:r>
          </w:p>
          <w:p>
            <w:pPr>
              <w:ind w:firstLine="480" w:firstLineChars="200"/>
              <w:rPr>
                <w:rFonts w:hint="default" w:ascii="Times New Roman" w:hAnsi="Times New Roman" w:cs="Times New Roman"/>
                <w:color w:val="auto"/>
                <w:highlight w:val="none"/>
              </w:rPr>
            </w:pPr>
            <w:r>
              <w:rPr>
                <w:rFonts w:hint="eastAsia" w:ascii="Times New Roman" w:hAnsi="Times New Roman" w:eastAsia="宋体" w:cs="Times New Roman"/>
                <w:color w:val="auto"/>
                <w:highlight w:val="none"/>
                <w:lang w:val="en-US" w:eastAsia="zh-CN"/>
              </w:rPr>
              <w:t>本</w:t>
            </w:r>
            <w:r>
              <w:rPr>
                <w:rFonts w:hint="default" w:ascii="Times New Roman" w:hAnsi="Times New Roman" w:eastAsia="宋体" w:cs="Times New Roman"/>
                <w:color w:val="auto"/>
                <w:highlight w:val="none"/>
                <w:lang w:val="en-US" w:eastAsia="zh-CN"/>
              </w:rPr>
              <w:t>项目不属于2019</w:t>
            </w:r>
            <w:r>
              <w:rPr>
                <w:rFonts w:hint="default" w:ascii="Times New Roman" w:hAnsi="Times New Roman" w:cs="Times New Roman"/>
                <w:color w:val="auto"/>
                <w:highlight w:val="none"/>
              </w:rPr>
              <w:t>年10月30日国家发展</w:t>
            </w:r>
            <w:r>
              <w:rPr>
                <w:rFonts w:hint="eastAsia" w:cs="Times New Roman"/>
                <w:color w:val="auto"/>
                <w:highlight w:val="none"/>
                <w:lang w:val="en-US" w:eastAsia="zh-CN"/>
              </w:rPr>
              <w:t>和</w:t>
            </w:r>
            <w:r>
              <w:rPr>
                <w:rFonts w:hint="default" w:ascii="Times New Roman" w:hAnsi="Times New Roman" w:cs="Times New Roman"/>
                <w:color w:val="auto"/>
                <w:highlight w:val="none"/>
              </w:rPr>
              <w:t>改革委员会第29号令公布的《产业结构调整名录（2019年本）》中限制类和淘汰类；不属于《河北省新增限制和淘汰类产业目录（2015年版）》中限制和淘汰类项目；不属于《秦皇岛市限制和禁止投资的产业目录（2020年版）》中的限制和禁止类</w:t>
            </w:r>
            <w:r>
              <w:rPr>
                <w:rFonts w:hint="eastAsia" w:cs="Times New Roman"/>
                <w:color w:val="auto"/>
                <w:highlight w:val="none"/>
                <w:lang w:eastAsia="zh-CN"/>
              </w:rPr>
              <w:t>，</w:t>
            </w:r>
            <w:r>
              <w:rPr>
                <w:rFonts w:eastAsiaTheme="minorEastAsia"/>
                <w:color w:val="auto"/>
                <w:highlight w:val="none"/>
              </w:rPr>
              <w:t>本项目未列入《市场准入负面清单（</w:t>
            </w:r>
            <w:r>
              <w:rPr>
                <w:rFonts w:hint="eastAsia" w:eastAsiaTheme="minorEastAsia"/>
                <w:color w:val="auto"/>
                <w:highlight w:val="none"/>
                <w:lang w:val="en-US" w:eastAsia="zh-CN"/>
              </w:rPr>
              <w:t>2022</w:t>
            </w:r>
            <w:r>
              <w:rPr>
                <w:rFonts w:eastAsiaTheme="minorEastAsia"/>
                <w:color w:val="auto"/>
                <w:highlight w:val="none"/>
              </w:rPr>
              <w:t>年版）》</w:t>
            </w:r>
            <w:r>
              <w:rPr>
                <w:rFonts w:hint="eastAsia" w:eastAsiaTheme="minorEastAsia"/>
                <w:color w:val="auto"/>
                <w:highlight w:val="none"/>
                <w:lang w:eastAsia="zh-CN"/>
              </w:rPr>
              <w:t>；</w:t>
            </w:r>
            <w:r>
              <w:rPr>
                <w:rFonts w:hint="default" w:ascii="Times New Roman" w:hAnsi="Times New Roman" w:cs="Times New Roman"/>
                <w:color w:val="auto"/>
                <w:highlight w:val="none"/>
              </w:rPr>
              <w:t>项目符合“三线一单”的要求。</w:t>
            </w:r>
          </w:p>
          <w:p>
            <w:pPr>
              <w:pStyle w:val="8"/>
              <w:rPr>
                <w:rFonts w:hint="default" w:ascii="Times New Roman" w:hAnsi="Times New Roman" w:cs="Times New Roman"/>
                <w:color w:val="auto"/>
                <w:highlight w:val="none"/>
              </w:rPr>
            </w:pPr>
            <w:r>
              <w:rPr>
                <w:rFonts w:hint="default" w:ascii="Times New Roman" w:hAnsi="Times New Roman" w:cs="Times New Roman"/>
                <w:color w:val="auto"/>
                <w:highlight w:val="none"/>
              </w:rPr>
              <w:t>1.4 项目衔接</w:t>
            </w:r>
          </w:p>
          <w:p>
            <w:pPr>
              <w:ind w:firstLine="480" w:firstLineChars="200"/>
              <w:rPr>
                <w:rFonts w:hint="eastAsia"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本项目供电</w:t>
            </w:r>
            <w:r>
              <w:rPr>
                <w:rFonts w:hint="eastAsia" w:cs="Times New Roman"/>
                <w:color w:val="auto"/>
                <w:highlight w:val="none"/>
                <w:lang w:eastAsia="zh-CN"/>
              </w:rPr>
              <w:t>、</w:t>
            </w:r>
            <w:r>
              <w:rPr>
                <w:rFonts w:hint="eastAsia" w:cs="Times New Roman"/>
                <w:color w:val="auto"/>
                <w:highlight w:val="none"/>
                <w:lang w:val="en-US" w:eastAsia="zh-CN"/>
              </w:rPr>
              <w:t>供水由当地管网提供</w:t>
            </w:r>
            <w:r>
              <w:rPr>
                <w:rFonts w:hint="eastAsia" w:cs="Times New Roman"/>
                <w:color w:val="auto"/>
                <w:highlight w:val="none"/>
                <w:lang w:eastAsia="zh-CN"/>
              </w:rPr>
              <w:t>。</w:t>
            </w:r>
          </w:p>
          <w:p>
            <w:pPr>
              <w:pStyle w:val="7"/>
              <w:rPr>
                <w:rFonts w:hint="default" w:ascii="Times New Roman" w:hAnsi="Times New Roman" w:cs="Times New Roman"/>
                <w:color w:val="auto"/>
                <w:highlight w:val="none"/>
              </w:rPr>
            </w:pPr>
            <w:r>
              <w:rPr>
                <w:rFonts w:hint="default" w:ascii="Times New Roman" w:hAnsi="Times New Roman" w:cs="Times New Roman"/>
                <w:color w:val="auto"/>
                <w:highlight w:val="none"/>
              </w:rPr>
              <w:t>2 环境质量现状</w:t>
            </w:r>
          </w:p>
          <w:p>
            <w:pPr>
              <w:adjustRightInd w:val="0"/>
              <w:snapToGrid w:val="0"/>
              <w:spacing w:line="360" w:lineRule="auto"/>
              <w:ind w:firstLine="480"/>
              <w:jc w:val="both"/>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b w:val="0"/>
                <w:bCs/>
                <w:color w:val="auto"/>
                <w:kern w:val="2"/>
                <w:sz w:val="24"/>
                <w:szCs w:val="21"/>
                <w:highlight w:val="none"/>
                <w:lang w:val="en-US" w:eastAsia="zh-CN" w:bidi="ar-SA"/>
              </w:rPr>
              <w:t>本项目所在区域</w:t>
            </w:r>
            <w:r>
              <w:rPr>
                <w:rFonts w:hint="default" w:ascii="Times New Roman" w:hAnsi="Times New Roman" w:eastAsia="宋体" w:cs="Times New Roman"/>
                <w:b w:val="0"/>
                <w:bCs/>
                <w:color w:val="auto"/>
                <w:kern w:val="2"/>
                <w:sz w:val="24"/>
                <w:szCs w:val="21"/>
                <w:highlight w:val="none"/>
                <w:lang w:val="en-US" w:eastAsia="zh-CN" w:bidi="ar-SA"/>
              </w:rPr>
              <w:t>环境空气质量</w:t>
            </w:r>
            <w:r>
              <w:rPr>
                <w:rFonts w:hint="eastAsia" w:ascii="Times New Roman" w:hAnsi="Times New Roman" w:eastAsia="宋体" w:cs="Times New Roman"/>
                <w:b w:val="0"/>
                <w:bCs/>
                <w:color w:val="auto"/>
                <w:kern w:val="2"/>
                <w:sz w:val="24"/>
                <w:szCs w:val="21"/>
                <w:highlight w:val="none"/>
                <w:lang w:val="en-US" w:eastAsia="zh-CN" w:bidi="ar-SA"/>
              </w:rPr>
              <w:t>中</w:t>
            </w:r>
            <w:r>
              <w:rPr>
                <w:rFonts w:hint="eastAsia" w:cs="Times New Roman"/>
                <w:b w:val="0"/>
                <w:bCs/>
                <w:color w:val="auto"/>
                <w:kern w:val="2"/>
                <w:sz w:val="24"/>
                <w:szCs w:val="21"/>
                <w:highlight w:val="none"/>
                <w:lang w:val="en-US" w:eastAsia="zh-CN" w:bidi="ar-SA"/>
              </w:rPr>
              <w:t>O</w:t>
            </w:r>
            <w:r>
              <w:rPr>
                <w:rFonts w:hint="eastAsia" w:cs="Times New Roman"/>
                <w:b w:val="0"/>
                <w:bCs/>
                <w:color w:val="auto"/>
                <w:kern w:val="2"/>
                <w:sz w:val="24"/>
                <w:szCs w:val="21"/>
                <w:highlight w:val="none"/>
                <w:vertAlign w:val="subscript"/>
                <w:lang w:val="en-US" w:eastAsia="zh-CN" w:bidi="ar-SA"/>
              </w:rPr>
              <w:t>3</w:t>
            </w:r>
            <w:r>
              <w:rPr>
                <w:rFonts w:hint="eastAsia" w:cs="Times New Roman"/>
                <w:b w:val="0"/>
                <w:bCs/>
                <w:color w:val="auto"/>
                <w:kern w:val="2"/>
                <w:sz w:val="24"/>
                <w:szCs w:val="21"/>
                <w:highlight w:val="none"/>
                <w:lang w:val="en-US" w:eastAsia="zh-CN" w:bidi="ar-SA"/>
              </w:rPr>
              <w:t>超标，不</w:t>
            </w:r>
            <w:r>
              <w:rPr>
                <w:rFonts w:hint="default" w:ascii="Times New Roman" w:hAnsi="Times New Roman" w:eastAsia="宋体" w:cs="Times New Roman"/>
                <w:b w:val="0"/>
                <w:bCs/>
                <w:color w:val="auto"/>
                <w:kern w:val="2"/>
                <w:sz w:val="24"/>
                <w:szCs w:val="21"/>
                <w:highlight w:val="none"/>
                <w:lang w:val="en-US" w:eastAsia="zh-CN" w:bidi="ar-SA"/>
              </w:rPr>
              <w:t>满足《环境空气质量标准》（GB3095-2012）二级标准要求</w:t>
            </w:r>
            <w:r>
              <w:rPr>
                <w:rFonts w:hint="eastAsia" w:ascii="Times New Roman" w:hAnsi="Times New Roman" w:eastAsia="宋体" w:cs="Times New Roman"/>
                <w:b w:val="0"/>
                <w:bCs/>
                <w:color w:val="auto"/>
                <w:kern w:val="2"/>
                <w:sz w:val="24"/>
                <w:szCs w:val="21"/>
                <w:highlight w:val="none"/>
                <w:lang w:val="en-US" w:eastAsia="zh-CN" w:bidi="ar-SA"/>
              </w:rPr>
              <w:t>，</w:t>
            </w:r>
            <w:r>
              <w:rPr>
                <w:rFonts w:hint="default" w:ascii="Times New Roman" w:hAnsi="Times New Roman" w:eastAsia="宋体" w:cs="Times New Roman"/>
                <w:b w:val="0"/>
                <w:bCs/>
                <w:color w:val="auto"/>
                <w:kern w:val="2"/>
                <w:sz w:val="24"/>
                <w:szCs w:val="21"/>
                <w:highlight w:val="none"/>
                <w:lang w:val="en-US" w:eastAsia="zh-CN" w:bidi="ar-SA"/>
              </w:rPr>
              <w:t>即本项目所在区域为</w:t>
            </w:r>
            <w:r>
              <w:rPr>
                <w:rFonts w:hint="eastAsia" w:cs="Times New Roman"/>
                <w:b w:val="0"/>
                <w:bCs/>
                <w:color w:val="auto"/>
                <w:kern w:val="2"/>
                <w:sz w:val="24"/>
                <w:szCs w:val="21"/>
                <w:highlight w:val="none"/>
                <w:lang w:val="en-US" w:eastAsia="zh-CN" w:bidi="ar-SA"/>
              </w:rPr>
              <w:t>不</w:t>
            </w:r>
            <w:r>
              <w:rPr>
                <w:rFonts w:hint="default" w:ascii="Times New Roman" w:hAnsi="Times New Roman" w:eastAsia="宋体" w:cs="Times New Roman"/>
                <w:b w:val="0"/>
                <w:bCs/>
                <w:color w:val="auto"/>
                <w:kern w:val="2"/>
                <w:sz w:val="24"/>
                <w:szCs w:val="21"/>
                <w:highlight w:val="none"/>
                <w:lang w:val="en-US" w:eastAsia="zh-CN" w:bidi="ar-SA"/>
              </w:rPr>
              <w:t>达标区。</w:t>
            </w:r>
            <w:r>
              <w:rPr>
                <w:rFonts w:hint="default" w:ascii="Times New Roman" w:hAnsi="Times New Roman" w:cs="Times New Roman"/>
                <w:color w:val="auto"/>
                <w:highlight w:val="none"/>
              </w:rPr>
              <w:t>项目区域声环境满足《声环境质量标准》(GB3096-2008)</w:t>
            </w:r>
            <w:r>
              <w:rPr>
                <w:rFonts w:hint="eastAsia" w:cs="Times New Roman"/>
                <w:color w:val="auto"/>
                <w:highlight w:val="none"/>
                <w:lang w:val="en-US" w:eastAsia="zh-CN"/>
              </w:rPr>
              <w:t>2</w:t>
            </w:r>
            <w:r>
              <w:rPr>
                <w:rFonts w:hint="default" w:ascii="Times New Roman" w:hAnsi="Times New Roman" w:cs="Times New Roman"/>
                <w:color w:val="auto"/>
                <w:highlight w:val="none"/>
              </w:rPr>
              <w:t>类区标准</w:t>
            </w:r>
            <w:r>
              <w:rPr>
                <w:rFonts w:hint="eastAsia" w:cs="Times New Roman"/>
                <w:color w:val="auto"/>
                <w:highlight w:val="none"/>
                <w:lang w:eastAsia="zh-CN"/>
              </w:rPr>
              <w:t>。</w:t>
            </w:r>
          </w:p>
          <w:p>
            <w:pPr>
              <w:pStyle w:val="7"/>
              <w:rPr>
                <w:rFonts w:hint="default" w:ascii="Times New Roman" w:hAnsi="Times New Roman" w:cs="Times New Roman"/>
                <w:color w:val="auto"/>
                <w:highlight w:val="none"/>
              </w:rPr>
            </w:pPr>
            <w:r>
              <w:rPr>
                <w:rFonts w:hint="default" w:ascii="Times New Roman" w:hAnsi="Times New Roman" w:cs="Times New Roman"/>
                <w:color w:val="auto"/>
                <w:highlight w:val="none"/>
              </w:rPr>
              <w:t>3 拟采取的环保措施可行性</w:t>
            </w:r>
          </w:p>
          <w:p>
            <w:pPr>
              <w:pStyle w:val="8"/>
              <w:rPr>
                <w:rFonts w:hint="default" w:ascii="Times New Roman" w:hAnsi="Times New Roman" w:cs="Times New Roman"/>
                <w:color w:val="auto"/>
                <w:highlight w:val="none"/>
              </w:rPr>
            </w:pPr>
            <w:r>
              <w:rPr>
                <w:rFonts w:hint="default" w:ascii="Times New Roman" w:hAnsi="Times New Roman" w:cs="Times New Roman"/>
                <w:color w:val="auto"/>
                <w:highlight w:val="none"/>
              </w:rPr>
              <w:t>3.</w:t>
            </w:r>
            <w:r>
              <w:rPr>
                <w:rFonts w:hint="eastAsia" w:cs="Times New Roman"/>
                <w:color w:val="auto"/>
                <w:highlight w:val="none"/>
                <w:lang w:val="en-US" w:eastAsia="zh-CN"/>
              </w:rPr>
              <w:t>1</w:t>
            </w:r>
            <w:r>
              <w:rPr>
                <w:rFonts w:hint="default" w:ascii="Times New Roman" w:hAnsi="Times New Roman" w:cs="Times New Roman"/>
                <w:color w:val="auto"/>
                <w:highlight w:val="none"/>
              </w:rPr>
              <w:t xml:space="preserve"> 施工期污染防治措施结论</w:t>
            </w:r>
          </w:p>
          <w:p>
            <w:pPr>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项目</w:t>
            </w:r>
            <w:r>
              <w:rPr>
                <w:rFonts w:hint="eastAsia" w:cs="Times New Roman"/>
                <w:color w:val="auto"/>
                <w:highlight w:val="none"/>
                <w:lang w:val="en-US" w:eastAsia="zh-CN"/>
              </w:rPr>
              <w:t>利用现有厂房场地，由于地面已硬化</w:t>
            </w:r>
            <w:r>
              <w:rPr>
                <w:rFonts w:hint="default" w:ascii="Times New Roman" w:hAnsi="Times New Roman" w:cs="Times New Roman"/>
                <w:color w:val="auto"/>
                <w:highlight w:val="none"/>
              </w:rPr>
              <w:t>，无土建施工，仅进行简单的设备安装，不会产生明显的扬尘，且设备在夜间不进行搬运、安装，措施可行。</w:t>
            </w:r>
          </w:p>
          <w:p>
            <w:pPr>
              <w:pStyle w:val="8"/>
              <w:rPr>
                <w:rFonts w:hint="default" w:ascii="Times New Roman" w:hAnsi="Times New Roman" w:cs="Times New Roman"/>
                <w:color w:val="auto"/>
                <w:highlight w:val="none"/>
              </w:rPr>
            </w:pPr>
            <w:r>
              <w:rPr>
                <w:rFonts w:hint="default" w:ascii="Times New Roman" w:hAnsi="Times New Roman" w:cs="Times New Roman"/>
                <w:color w:val="auto"/>
                <w:highlight w:val="none"/>
              </w:rPr>
              <w:t>3.</w:t>
            </w:r>
            <w:r>
              <w:rPr>
                <w:rFonts w:hint="eastAsia" w:cs="Times New Roman"/>
                <w:color w:val="auto"/>
                <w:highlight w:val="none"/>
                <w:lang w:val="en-US" w:eastAsia="zh-CN"/>
              </w:rPr>
              <w:t>2</w:t>
            </w:r>
            <w:r>
              <w:rPr>
                <w:rFonts w:hint="default" w:ascii="Times New Roman" w:hAnsi="Times New Roman" w:cs="Times New Roman"/>
                <w:color w:val="auto"/>
                <w:highlight w:val="none"/>
              </w:rPr>
              <w:t xml:space="preserve"> 运营期污染防治措施结论</w:t>
            </w:r>
          </w:p>
          <w:p>
            <w:pPr>
              <w:pStyle w:val="9"/>
              <w:rPr>
                <w:rFonts w:hint="eastAsia" w:cs="Times New Roman"/>
                <w:b/>
                <w:bCs/>
                <w:color w:val="auto"/>
                <w:highlight w:val="none"/>
                <w:lang w:val="en-US" w:eastAsia="zh-CN"/>
              </w:rPr>
            </w:pPr>
            <w:r>
              <w:rPr>
                <w:rFonts w:hint="eastAsia" w:cs="Times New Roman"/>
                <w:b/>
                <w:bCs/>
                <w:color w:val="auto"/>
                <w:highlight w:val="none"/>
                <w:lang w:val="en-US" w:eastAsia="zh-CN"/>
              </w:rPr>
              <w:t>3.2.1 大气环境影响评价结论</w:t>
            </w:r>
          </w:p>
          <w:p>
            <w:pPr>
              <w:bidi w:val="0"/>
              <w:rPr>
                <w:rFonts w:hint="default" w:ascii="Times New Roman" w:hAnsi="Times New Roman" w:cs="Times New Roman"/>
                <w:color w:val="auto"/>
                <w:highlight w:val="none"/>
              </w:rPr>
            </w:pPr>
            <w:r>
              <w:rPr>
                <w:rFonts w:hint="eastAsia" w:ascii="Times New Roman" w:hAnsi="Times New Roman" w:cs="Times New Roman"/>
                <w:color w:val="auto"/>
                <w:highlight w:val="none"/>
                <w:lang w:val="en-US" w:eastAsia="zh-CN"/>
              </w:rPr>
              <w:t>本项目不新增产生废气，企业卫生防护距离依旧沿用原有卫生防护距离—150m，企业</w:t>
            </w:r>
            <w:r>
              <w:rPr>
                <w:rFonts w:hint="default" w:ascii="Times New Roman" w:hAnsi="Times New Roman" w:cs="Times New Roman"/>
                <w:color w:val="auto"/>
                <w:highlight w:val="none"/>
              </w:rPr>
              <w:t>卫生防护距离内无学校、医院、村庄等环境敏感点，满足卫生防护距离要求。</w:t>
            </w:r>
          </w:p>
          <w:p>
            <w:pPr>
              <w:pStyle w:val="9"/>
              <w:rPr>
                <w:rFonts w:hint="default" w:ascii="Times New Roman" w:hAnsi="Times New Roman" w:cs="Times New Roman"/>
                <w:b/>
                <w:bCs/>
                <w:color w:val="auto"/>
                <w:highlight w:val="none"/>
              </w:rPr>
            </w:pPr>
            <w:r>
              <w:rPr>
                <w:rFonts w:hint="eastAsia" w:cs="Times New Roman"/>
                <w:b/>
                <w:bCs/>
                <w:color w:val="auto"/>
                <w:highlight w:val="none"/>
                <w:lang w:val="en-US" w:eastAsia="zh-CN"/>
              </w:rPr>
              <w:t xml:space="preserve">3.2.2 </w:t>
            </w:r>
            <w:r>
              <w:rPr>
                <w:rFonts w:hint="default" w:ascii="Times New Roman" w:hAnsi="Times New Roman" w:cs="Times New Roman"/>
                <w:b/>
                <w:bCs/>
                <w:color w:val="auto"/>
                <w:highlight w:val="none"/>
              </w:rPr>
              <w:t>水环境影响评价结论</w:t>
            </w:r>
          </w:p>
          <w:p>
            <w:pPr>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w:t>
            </w:r>
            <w:r>
              <w:rPr>
                <w:rFonts w:hint="eastAsia" w:cs="Times New Roman"/>
                <w:color w:val="auto"/>
                <w:highlight w:val="none"/>
                <w:lang w:val="en-US" w:eastAsia="zh-CN"/>
              </w:rPr>
              <w:t>生产废水主要为切削液调配用水，切削液与水混合物</w:t>
            </w:r>
            <w:r>
              <w:rPr>
                <w:rFonts w:hint="default" w:ascii="Times New Roman" w:hAnsi="Times New Roman" w:cs="Times New Roman"/>
                <w:color w:val="auto"/>
                <w:highlight w:val="none"/>
                <w:lang w:val="en-US" w:eastAsia="zh-CN"/>
              </w:rPr>
              <w:t>消耗蒸发，</w:t>
            </w:r>
            <w:r>
              <w:rPr>
                <w:rFonts w:hint="eastAsia" w:cs="Times New Roman"/>
                <w:color w:val="auto"/>
                <w:highlight w:val="none"/>
                <w:lang w:val="en-US" w:eastAsia="zh-CN"/>
              </w:rPr>
              <w:t>仅添加、</w:t>
            </w:r>
            <w:r>
              <w:rPr>
                <w:rFonts w:hint="default" w:ascii="Times New Roman" w:hAnsi="Times New Roman" w:cs="Times New Roman"/>
                <w:color w:val="auto"/>
                <w:highlight w:val="none"/>
                <w:lang w:val="en-US" w:eastAsia="zh-CN"/>
              </w:rPr>
              <w:t>不外排，</w:t>
            </w:r>
            <w:r>
              <w:rPr>
                <w:rFonts w:hint="eastAsia" w:cs="Times New Roman"/>
                <w:color w:val="auto"/>
                <w:highlight w:val="none"/>
                <w:lang w:val="en-US" w:eastAsia="zh-CN"/>
              </w:rPr>
              <w:t>每次更换下来的废切削液作为危险废物处置，</w:t>
            </w:r>
            <w:r>
              <w:rPr>
                <w:rFonts w:hint="default" w:ascii="Times New Roman" w:hAnsi="Times New Roman" w:cs="Times New Roman"/>
                <w:color w:val="auto"/>
                <w:highlight w:val="none"/>
              </w:rPr>
              <w:t>措施可行。</w:t>
            </w:r>
          </w:p>
          <w:p>
            <w:pPr>
              <w:pStyle w:val="9"/>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3.</w:t>
            </w:r>
            <w:r>
              <w:rPr>
                <w:rFonts w:hint="eastAsia" w:cs="Times New Roman"/>
                <w:b/>
                <w:bCs/>
                <w:color w:val="auto"/>
                <w:highlight w:val="none"/>
                <w:lang w:val="en-US" w:eastAsia="zh-CN"/>
              </w:rPr>
              <w:t>2</w:t>
            </w:r>
            <w:r>
              <w:rPr>
                <w:rFonts w:hint="default" w:ascii="Times New Roman" w:hAnsi="Times New Roman" w:cs="Times New Roman"/>
                <w:b/>
                <w:bCs/>
                <w:color w:val="auto"/>
                <w:highlight w:val="none"/>
              </w:rPr>
              <w:t>.</w:t>
            </w:r>
            <w:r>
              <w:rPr>
                <w:rFonts w:hint="eastAsia" w:cs="Times New Roman"/>
                <w:b/>
                <w:bCs/>
                <w:color w:val="auto"/>
                <w:highlight w:val="none"/>
                <w:lang w:val="en-US" w:eastAsia="zh-CN"/>
              </w:rPr>
              <w:t>3</w:t>
            </w:r>
            <w:r>
              <w:rPr>
                <w:rFonts w:hint="default" w:ascii="Times New Roman" w:hAnsi="Times New Roman" w:cs="Times New Roman"/>
                <w:b/>
                <w:bCs/>
                <w:color w:val="auto"/>
                <w:highlight w:val="none"/>
              </w:rPr>
              <w:t xml:space="preserve"> 声环境影响评价结论</w:t>
            </w:r>
          </w:p>
          <w:p>
            <w:pPr>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 本项目噪声来源主要为设备噪声，项目经建筑隔声，距离衰减，设置减振基础，可满足《工业企业厂界环境噪声排放标准》(GB12348—2008)中的</w:t>
            </w:r>
            <w:r>
              <w:rPr>
                <w:rFonts w:hint="eastAsia" w:cs="Times New Roman"/>
                <w:color w:val="auto"/>
                <w:highlight w:val="none"/>
                <w:lang w:val="en-US" w:eastAsia="zh-CN"/>
              </w:rPr>
              <w:t>2</w:t>
            </w:r>
            <w:r>
              <w:rPr>
                <w:rFonts w:hint="default" w:ascii="Times New Roman" w:hAnsi="Times New Roman" w:cs="Times New Roman"/>
                <w:color w:val="auto"/>
                <w:highlight w:val="none"/>
              </w:rPr>
              <w:t>类标准，</w:t>
            </w:r>
            <w:r>
              <w:rPr>
                <w:rFonts w:hint="eastAsia" w:cs="Times New Roman"/>
                <w:color w:val="auto"/>
                <w:highlight w:val="none"/>
                <w:lang w:val="en-US" w:eastAsia="zh-CN"/>
              </w:rPr>
              <w:t>夜间不生产，</w:t>
            </w:r>
            <w:r>
              <w:rPr>
                <w:rFonts w:hint="default" w:ascii="Times New Roman" w:hAnsi="Times New Roman" w:cs="Times New Roman"/>
                <w:color w:val="auto"/>
                <w:highlight w:val="none"/>
              </w:rPr>
              <w:t>措施可行。</w:t>
            </w:r>
          </w:p>
          <w:p>
            <w:pPr>
              <w:pStyle w:val="9"/>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3.</w:t>
            </w:r>
            <w:r>
              <w:rPr>
                <w:rFonts w:hint="eastAsia" w:cs="Times New Roman"/>
                <w:b/>
                <w:bCs/>
                <w:color w:val="auto"/>
                <w:highlight w:val="none"/>
                <w:lang w:val="en-US" w:eastAsia="zh-CN"/>
              </w:rPr>
              <w:t>2</w:t>
            </w:r>
            <w:r>
              <w:rPr>
                <w:rFonts w:hint="default" w:ascii="Times New Roman" w:hAnsi="Times New Roman" w:cs="Times New Roman"/>
                <w:b/>
                <w:bCs/>
                <w:color w:val="auto"/>
                <w:highlight w:val="none"/>
              </w:rPr>
              <w:t>.</w:t>
            </w:r>
            <w:r>
              <w:rPr>
                <w:rFonts w:hint="eastAsia" w:cs="Times New Roman"/>
                <w:b/>
                <w:bCs/>
                <w:color w:val="auto"/>
                <w:highlight w:val="none"/>
                <w:lang w:val="en-US" w:eastAsia="zh-CN"/>
              </w:rPr>
              <w:t>4</w:t>
            </w:r>
            <w:r>
              <w:rPr>
                <w:rFonts w:hint="default" w:ascii="Times New Roman" w:hAnsi="Times New Roman" w:cs="Times New Roman"/>
                <w:b/>
                <w:bCs/>
                <w:color w:val="auto"/>
                <w:highlight w:val="none"/>
              </w:rPr>
              <w:t xml:space="preserve"> 固废环境影响评价结论</w:t>
            </w:r>
          </w:p>
          <w:p>
            <w:pPr>
              <w:ind w:firstLine="480" w:firstLineChars="20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rPr>
              <w:t> 本项目</w:t>
            </w:r>
            <w:r>
              <w:rPr>
                <w:rFonts w:hint="default" w:ascii="Times New Roman" w:hAnsi="Times New Roman" w:cs="Times New Roman"/>
                <w:color w:val="auto"/>
                <w:highlight w:val="none"/>
                <w:lang w:val="en-US" w:eastAsia="zh-CN"/>
              </w:rPr>
              <w:t>产生</w:t>
            </w:r>
            <w:r>
              <w:rPr>
                <w:rFonts w:hint="eastAsia" w:cs="Times New Roman"/>
                <w:color w:val="auto"/>
                <w:highlight w:val="none"/>
                <w:lang w:val="en-US" w:eastAsia="zh-CN"/>
              </w:rPr>
              <w:t>的一般工业固废有废</w:t>
            </w:r>
            <w:r>
              <w:rPr>
                <w:rFonts w:hint="default" w:ascii="Times New Roman" w:hAnsi="Times New Roman" w:cs="Times New Roman"/>
                <w:color w:val="auto"/>
                <w:highlight w:val="none"/>
                <w:lang w:val="en-US" w:eastAsia="zh-CN"/>
              </w:rPr>
              <w:t>边角料</w:t>
            </w:r>
            <w:r>
              <w:rPr>
                <w:rFonts w:hint="eastAsia" w:ascii="Times New Roman" w:hAnsi="Times New Roman" w:eastAsia="宋体" w:cs="Times New Roman"/>
                <w:color w:val="auto"/>
                <w:highlight w:val="none"/>
                <w:lang w:val="en-US" w:eastAsia="zh-CN"/>
              </w:rPr>
              <w:t>暂存</w:t>
            </w:r>
            <w:r>
              <w:rPr>
                <w:rFonts w:hint="default" w:ascii="Times New Roman" w:hAnsi="Times New Roman" w:cs="Times New Roman"/>
                <w:color w:val="auto"/>
                <w:highlight w:val="none"/>
                <w:lang w:val="en-US" w:eastAsia="zh-CN"/>
              </w:rPr>
              <w:t>至</w:t>
            </w:r>
            <w:r>
              <w:rPr>
                <w:rFonts w:hint="eastAsia" w:cs="Times New Roman"/>
                <w:color w:val="auto"/>
                <w:highlight w:val="none"/>
                <w:lang w:val="en-US" w:eastAsia="zh-CN"/>
              </w:rPr>
              <w:t>厂区内</w:t>
            </w:r>
            <w:r>
              <w:rPr>
                <w:rFonts w:hint="default" w:ascii="Times New Roman" w:hAnsi="Times New Roman" w:cs="Times New Roman"/>
                <w:color w:val="auto"/>
                <w:highlight w:val="none"/>
                <w:lang w:val="en-US" w:eastAsia="zh-CN"/>
              </w:rPr>
              <w:t>一般工业固废暂存</w:t>
            </w:r>
            <w:r>
              <w:rPr>
                <w:rFonts w:hint="eastAsia" w:cs="Times New Roman"/>
                <w:color w:val="auto"/>
                <w:highlight w:val="none"/>
                <w:lang w:val="en-US" w:eastAsia="zh-CN"/>
              </w:rPr>
              <w:t>区</w:t>
            </w:r>
            <w:r>
              <w:rPr>
                <w:rFonts w:hint="default" w:ascii="Times New Roman" w:hAnsi="Times New Roman" w:cs="Times New Roman"/>
                <w:color w:val="auto"/>
                <w:highlight w:val="none"/>
                <w:lang w:val="en-US" w:eastAsia="zh-CN"/>
              </w:rPr>
              <w:t>，定期外售</w:t>
            </w:r>
            <w:r>
              <w:rPr>
                <w:rFonts w:hint="eastAsia" w:cs="Times New Roman"/>
                <w:color w:val="auto"/>
                <w:highlight w:val="none"/>
                <w:lang w:val="en-US" w:eastAsia="zh-CN"/>
              </w:rPr>
              <w:t>；废切削液、</w:t>
            </w:r>
            <w:r>
              <w:rPr>
                <w:rFonts w:hint="eastAsia"/>
                <w:color w:val="auto"/>
                <w:highlight w:val="none"/>
                <w:lang w:val="en-US" w:eastAsia="zh-CN"/>
              </w:rPr>
              <w:t>废导轨油桶</w:t>
            </w:r>
            <w:r>
              <w:rPr>
                <w:rFonts w:hint="default"/>
                <w:color w:val="auto"/>
                <w:highlight w:val="none"/>
                <w:lang w:val="en-US" w:eastAsia="zh-CN"/>
              </w:rPr>
              <w:t>、</w:t>
            </w:r>
            <w:r>
              <w:rPr>
                <w:rFonts w:hint="eastAsia"/>
                <w:color w:val="auto"/>
                <w:highlight w:val="none"/>
                <w:lang w:val="en-US" w:eastAsia="zh-CN"/>
              </w:rPr>
              <w:t>废切削液桶</w:t>
            </w:r>
            <w:r>
              <w:rPr>
                <w:rFonts w:hint="eastAsia" w:ascii="Times New Roman" w:hAnsi="Times New Roman" w:cs="Times New Roman"/>
                <w:color w:val="auto"/>
                <w:highlight w:val="none"/>
                <w:lang w:val="en-US" w:eastAsia="zh-CN"/>
              </w:rPr>
              <w:t>存于原有危废间内，由</w:t>
            </w:r>
            <w:r>
              <w:rPr>
                <w:rFonts w:hint="eastAsia" w:cs="Times New Roman"/>
                <w:color w:val="auto"/>
                <w:highlight w:val="none"/>
                <w:lang w:val="en-US" w:eastAsia="zh-CN"/>
              </w:rPr>
              <w:t>有资质单位定期运输并处置；</w:t>
            </w:r>
            <w:r>
              <w:rPr>
                <w:rFonts w:hint="eastAsia" w:ascii="Times New Roman" w:hAnsi="Times New Roman" w:eastAsia="宋体" w:cs="Times New Roman"/>
                <w:color w:val="auto"/>
                <w:szCs w:val="21"/>
                <w:highlight w:val="none"/>
                <w:lang w:val="en-US" w:eastAsia="zh-CN"/>
              </w:rPr>
              <w:t>废含切削液金属屑先在危废间内沥干，切削液回用于生产，金属屑变成静置后无滴漏状态后，存放于危废间内，由相应有能力利用厂家综合利用</w:t>
            </w:r>
            <w:r>
              <w:rPr>
                <w:rFonts w:hint="default" w:ascii="Times New Roman" w:hAnsi="Times New Roman" w:cs="Times New Roman"/>
                <w:color w:val="auto"/>
                <w:highlight w:val="none"/>
                <w:lang w:val="en-US" w:eastAsia="zh-CN"/>
              </w:rPr>
              <w:t>。</w:t>
            </w:r>
          </w:p>
          <w:p>
            <w:pPr>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所有固体废物均得到合理处置，措施可行。</w:t>
            </w:r>
          </w:p>
          <w:p>
            <w:pPr>
              <w:pStyle w:val="7"/>
              <w:rPr>
                <w:rFonts w:hint="default" w:ascii="Times New Roman" w:hAnsi="Times New Roman" w:cs="Times New Roman"/>
                <w:color w:val="auto"/>
                <w:highlight w:val="none"/>
              </w:rPr>
            </w:pPr>
            <w:r>
              <w:rPr>
                <w:rFonts w:hint="default" w:ascii="Times New Roman" w:hAnsi="Times New Roman" w:cs="Times New Roman"/>
                <w:color w:val="auto"/>
                <w:highlight w:val="none"/>
              </w:rPr>
              <w:t>4 总量控制</w:t>
            </w:r>
          </w:p>
          <w:p>
            <w:pPr>
              <w:pStyle w:val="10"/>
              <w:spacing w:line="360" w:lineRule="auto"/>
              <w:ind w:firstLine="480"/>
              <w:rPr>
                <w:rFonts w:hint="eastAsia" w:ascii="Times New Roman" w:hAnsi="Times New Roman" w:eastAsia="宋体" w:cs="Times New Roman"/>
                <w:color w:val="auto"/>
                <w:kern w:val="2"/>
                <w:sz w:val="24"/>
                <w:szCs w:val="24"/>
                <w:highlight w:val="none"/>
                <w:lang w:val="en-US" w:eastAsia="zh-CN" w:bidi="ar-SA"/>
              </w:rPr>
            </w:pPr>
            <w:r>
              <w:rPr>
                <w:rFonts w:hint="eastAsia" w:cs="Times New Roman"/>
                <w:color w:val="auto"/>
                <w:highlight w:val="none"/>
                <w:lang w:val="en-US" w:eastAsia="zh-CN"/>
              </w:rPr>
              <w:t>本项目不涉及总量控制指标的变化，因此项目建成后</w:t>
            </w:r>
            <w:r>
              <w:rPr>
                <w:rFonts w:hint="eastAsia" w:ascii="Times New Roman" w:hAnsi="Times New Roman" w:eastAsia="宋体" w:cs="Times New Roman"/>
                <w:color w:val="auto"/>
                <w:highlight w:val="none"/>
                <w:lang w:val="en-US" w:eastAsia="zh-CN"/>
              </w:rPr>
              <w:t>全厂总量控制指标</w:t>
            </w:r>
            <w:r>
              <w:rPr>
                <w:rFonts w:hint="eastAsia" w:cs="Times New Roman"/>
                <w:color w:val="auto"/>
                <w:highlight w:val="none"/>
                <w:lang w:val="en-US" w:eastAsia="zh-CN"/>
              </w:rPr>
              <w:t>不变，即为</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COD：</w:t>
            </w:r>
            <w:r>
              <w:rPr>
                <w:rFonts w:hint="eastAsia" w:ascii="Times New Roman" w:hAnsi="Times New Roman" w:eastAsia="宋体" w:cs="Times New Roman"/>
                <w:color w:val="auto"/>
                <w:highlight w:val="none"/>
                <w:lang w:val="en-US" w:eastAsia="zh-CN"/>
              </w:rPr>
              <w:t>0.048</w:t>
            </w:r>
            <w:r>
              <w:rPr>
                <w:rFonts w:hint="eastAsia" w:ascii="Times New Roman" w:hAnsi="Times New Roman" w:eastAsia="宋体" w:cs="Times New Roman"/>
                <w:color w:val="auto"/>
                <w:highlight w:val="none"/>
              </w:rPr>
              <w:t>t/a、氨氮：0</w:t>
            </w:r>
            <w:r>
              <w:rPr>
                <w:rFonts w:hint="eastAsia" w:ascii="Times New Roman" w:hAnsi="Times New Roman" w:eastAsia="宋体" w:cs="Times New Roman"/>
                <w:color w:val="auto"/>
                <w:highlight w:val="none"/>
                <w:lang w:val="en-US" w:eastAsia="zh-CN"/>
              </w:rPr>
              <w:t>.003</w:t>
            </w:r>
            <w:r>
              <w:rPr>
                <w:rFonts w:hint="eastAsia" w:ascii="Times New Roman" w:hAnsi="Times New Roman" w:eastAsia="宋体" w:cs="Times New Roman"/>
                <w:color w:val="auto"/>
                <w:highlight w:val="none"/>
              </w:rPr>
              <w:t>t/a</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SO</w:t>
            </w:r>
            <w:r>
              <w:rPr>
                <w:rFonts w:hint="eastAsia" w:ascii="Times New Roman" w:hAnsi="Times New Roman" w:eastAsia="宋体" w:cs="Times New Roman"/>
                <w:color w:val="auto"/>
                <w:highlight w:val="none"/>
                <w:vertAlign w:val="subscript"/>
                <w:lang w:val="en-US" w:eastAsia="zh-CN"/>
              </w:rPr>
              <w:t>2</w:t>
            </w:r>
            <w:r>
              <w:rPr>
                <w:rFonts w:hint="eastAsia"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0</w:t>
            </w:r>
            <w:r>
              <w:rPr>
                <w:rFonts w:hint="eastAsia" w:ascii="Times New Roman" w:hAnsi="Times New Roman" w:eastAsia="宋体" w:cs="Times New Roman"/>
                <w:color w:val="auto"/>
                <w:highlight w:val="none"/>
              </w:rPr>
              <w:t>t/a</w:t>
            </w:r>
            <w:r>
              <w:rPr>
                <w:rFonts w:hint="eastAsia" w:ascii="Times New Roman" w:hAnsi="Times New Roman" w:eastAsia="宋体" w:cs="Times New Roman"/>
                <w:color w:val="auto"/>
                <w:highlight w:val="none"/>
                <w:lang w:val="en-US" w:eastAsia="zh-CN"/>
              </w:rPr>
              <w:t>、NOx</w:t>
            </w:r>
            <w:r>
              <w:rPr>
                <w:rFonts w:hint="eastAsia"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0</w:t>
            </w:r>
            <w:r>
              <w:rPr>
                <w:rFonts w:hint="eastAsia" w:ascii="Times New Roman" w:hAnsi="Times New Roman" w:eastAsia="宋体" w:cs="Times New Roman"/>
                <w:color w:val="auto"/>
                <w:highlight w:val="none"/>
              </w:rPr>
              <w:t>t/a</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挥发性有机物：0.0525t/a、颗粒物0.072t/a。</w:t>
            </w:r>
          </w:p>
          <w:p>
            <w:pPr>
              <w:pStyle w:val="7"/>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 xml:space="preserve">5 </w:t>
            </w:r>
            <w:r>
              <w:rPr>
                <w:rFonts w:hint="default" w:ascii="Times New Roman" w:hAnsi="Times New Roman" w:eastAsia="宋体" w:cs="Times New Roman"/>
                <w:color w:val="auto"/>
                <w:highlight w:val="none"/>
              </w:rPr>
              <w:t>综合结论</w:t>
            </w:r>
          </w:p>
          <w:p>
            <w:pPr>
              <w:spacing w:line="360" w:lineRule="auto"/>
              <w:ind w:firstLine="480" w:firstLineChars="200"/>
              <w:rPr>
                <w:rFonts w:hint="eastAsia" w:ascii="Times New Roman" w:hAnsi="Times New Roman" w:eastAsia="宋体" w:cs="Times New Roman"/>
                <w:color w:val="auto"/>
                <w:highlight w:val="none"/>
                <w:lang w:eastAsia="zh-CN"/>
              </w:rPr>
            </w:pPr>
            <w:r>
              <w:rPr>
                <w:rFonts w:hint="default" w:ascii="Times New Roman" w:hAnsi="Times New Roman" w:eastAsia="宋体" w:cs="Times New Roman"/>
                <w:color w:val="auto"/>
                <w:highlight w:val="none"/>
              </w:rPr>
              <w:t>综上所述，该项目符合国家产业政策，厂址选择可行，工程采取了较为完善的污染防治措施，可确保达标排放，项目的建设不会对周围环境产生明显的污染影响。从环保角度分析项目的建设可行</w:t>
            </w:r>
            <w:r>
              <w:rPr>
                <w:rFonts w:hint="eastAsia" w:eastAsia="宋体" w:cs="Times New Roman"/>
                <w:color w:val="auto"/>
                <w:highlight w:val="none"/>
                <w:lang w:eastAsia="zh-CN"/>
              </w:rPr>
              <w:t>。</w:t>
            </w:r>
          </w:p>
          <w:p>
            <w:pPr>
              <w:ind w:left="0" w:leftChars="0" w:firstLine="0" w:firstLineChars="0"/>
              <w:rPr>
                <w:rFonts w:hint="default" w:ascii="Times New Roman" w:hAnsi="Times New Roman" w:cs="Times New Roman"/>
                <w:color w:val="auto"/>
                <w:highlight w:val="none"/>
              </w:rPr>
            </w:pPr>
          </w:p>
        </w:tc>
      </w:tr>
    </w:tbl>
    <w:p>
      <w:pPr>
        <w:rPr>
          <w:rFonts w:hint="default" w:ascii="Times New Roman" w:hAnsi="Times New Roman" w:cs="Times New Roman"/>
          <w:color w:val="auto"/>
          <w:highlight w:val="none"/>
        </w:rPr>
        <w:sectPr>
          <w:pgSz w:w="11906" w:h="16838"/>
          <w:pgMar w:top="1701" w:right="1531" w:bottom="1701" w:left="1531" w:header="851" w:footer="851" w:gutter="0"/>
          <w:cols w:space="720" w:num="1"/>
          <w:docGrid w:linePitch="312" w:charSpace="0"/>
        </w:sectPr>
      </w:pPr>
    </w:p>
    <w:p>
      <w:pPr>
        <w:pStyle w:val="5"/>
        <w:jc w:val="both"/>
        <w:rPr>
          <w:rFonts w:hint="default" w:ascii="Times New Roman" w:hAnsi="Times New Roman" w:cs="Times New Roman"/>
          <w:color w:val="auto"/>
          <w:highlight w:val="none"/>
        </w:rPr>
      </w:pPr>
      <w:r>
        <w:rPr>
          <w:rFonts w:hint="default" w:ascii="Times New Roman" w:hAnsi="Times New Roman" w:cs="Times New Roman"/>
          <w:color w:val="auto"/>
          <w:highlight w:val="none"/>
        </w:rPr>
        <w:t>附表</w:t>
      </w:r>
    </w:p>
    <w:p>
      <w:pPr>
        <w:pStyle w:val="27"/>
        <w:adjustRightInd w:val="0"/>
        <w:snapToGrid w:val="0"/>
        <w:spacing w:before="0" w:beforeAutospacing="0" w:after="0" w:afterAutospacing="0"/>
        <w:jc w:val="center"/>
        <w:outlineLvl w:val="0"/>
        <w:rPr>
          <w:rFonts w:hint="default" w:ascii="Times New Roman" w:hAnsi="Times New Roman" w:eastAsia="黑体" w:cs="Times New Roman"/>
          <w:snapToGrid w:val="0"/>
          <w:color w:val="auto"/>
          <w:sz w:val="36"/>
          <w:szCs w:val="36"/>
          <w:highlight w:val="none"/>
        </w:rPr>
      </w:pPr>
      <w:r>
        <w:rPr>
          <w:rFonts w:hint="default" w:ascii="Times New Roman" w:hAnsi="Times New Roman" w:eastAsia="黑体" w:cs="Times New Roman"/>
          <w:snapToGrid w:val="0"/>
          <w:color w:val="auto"/>
          <w:sz w:val="36"/>
          <w:szCs w:val="36"/>
          <w:highlight w:val="none"/>
        </w:rPr>
        <w:t>建设项目污染物排放量汇总表</w:t>
      </w:r>
    </w:p>
    <w:tbl>
      <w:tblPr>
        <w:tblStyle w:val="31"/>
        <w:tblW w:w="14173"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46"/>
        <w:gridCol w:w="1543"/>
        <w:gridCol w:w="1748"/>
        <w:gridCol w:w="1312"/>
        <w:gridCol w:w="1748"/>
        <w:gridCol w:w="1603"/>
        <w:gridCol w:w="1810"/>
        <w:gridCol w:w="1838"/>
        <w:gridCol w:w="102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tcBorders>
              <w:tl2br w:val="single" w:color="auto" w:sz="4" w:space="0"/>
            </w:tcBorders>
            <w:tcMar>
              <w:left w:w="28" w:type="dxa"/>
              <w:right w:w="28" w:type="dxa"/>
            </w:tcMar>
            <w:vAlign w:val="center"/>
          </w:tcPr>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 xml:space="preserve">       项目</w:t>
            </w:r>
          </w:p>
          <w:p>
            <w:pPr>
              <w:pStyle w:val="63"/>
              <w:jc w:val="both"/>
              <w:rPr>
                <w:rFonts w:hint="default" w:ascii="Times New Roman" w:hAnsi="Times New Roman" w:cs="Times New Roman"/>
                <w:color w:val="auto"/>
                <w:highlight w:val="none"/>
              </w:rPr>
            </w:pPr>
            <w:r>
              <w:rPr>
                <w:rFonts w:hint="default" w:ascii="Times New Roman" w:hAnsi="Times New Roman" w:cs="Times New Roman"/>
                <w:color w:val="auto"/>
                <w:highlight w:val="none"/>
              </w:rPr>
              <w:t>分类</w:t>
            </w:r>
          </w:p>
        </w:tc>
        <w:tc>
          <w:tcPr>
            <w:tcW w:w="1543" w:type="dxa"/>
            <w:tcMar>
              <w:left w:w="28" w:type="dxa"/>
              <w:right w:w="28" w:type="dxa"/>
            </w:tcMar>
            <w:vAlign w:val="center"/>
          </w:tcPr>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污染物名称</w:t>
            </w:r>
          </w:p>
        </w:tc>
        <w:tc>
          <w:tcPr>
            <w:tcW w:w="1748" w:type="dxa"/>
            <w:tcMar>
              <w:left w:w="28" w:type="dxa"/>
              <w:right w:w="28" w:type="dxa"/>
            </w:tcMar>
            <w:vAlign w:val="center"/>
          </w:tcPr>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现有工程</w:t>
            </w:r>
          </w:p>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排放量（固体废物产生量）</w:t>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 1 \* GB3 \* MERGEFORMAT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①</w:t>
            </w:r>
            <w:r>
              <w:rPr>
                <w:rFonts w:hint="default" w:ascii="Times New Roman" w:hAnsi="Times New Roman" w:cs="Times New Roman"/>
                <w:color w:val="auto"/>
                <w:highlight w:val="none"/>
              </w:rPr>
              <w:fldChar w:fldCharType="end"/>
            </w:r>
          </w:p>
        </w:tc>
        <w:tc>
          <w:tcPr>
            <w:tcW w:w="1312" w:type="dxa"/>
            <w:tcMar>
              <w:left w:w="28" w:type="dxa"/>
              <w:right w:w="28" w:type="dxa"/>
            </w:tcMar>
            <w:vAlign w:val="center"/>
          </w:tcPr>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现有工程</w:t>
            </w:r>
          </w:p>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许可排放量</w:t>
            </w:r>
          </w:p>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 2 \* GB3 \* MERGEFORMAT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②</w:t>
            </w:r>
            <w:r>
              <w:rPr>
                <w:rFonts w:hint="default" w:ascii="Times New Roman" w:hAnsi="Times New Roman" w:cs="Times New Roman"/>
                <w:color w:val="auto"/>
                <w:highlight w:val="none"/>
              </w:rPr>
              <w:fldChar w:fldCharType="end"/>
            </w:r>
          </w:p>
        </w:tc>
        <w:tc>
          <w:tcPr>
            <w:tcW w:w="1748" w:type="dxa"/>
            <w:tcMar>
              <w:left w:w="28" w:type="dxa"/>
              <w:right w:w="28" w:type="dxa"/>
            </w:tcMar>
            <w:vAlign w:val="center"/>
          </w:tcPr>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在建工程</w:t>
            </w:r>
          </w:p>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排放量（固体废物产生量）</w:t>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 3 \* GB3 \* MERGEFORMAT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③</w:t>
            </w:r>
            <w:r>
              <w:rPr>
                <w:rFonts w:hint="default" w:ascii="Times New Roman" w:hAnsi="Times New Roman" w:cs="Times New Roman"/>
                <w:color w:val="auto"/>
                <w:highlight w:val="none"/>
              </w:rPr>
              <w:fldChar w:fldCharType="end"/>
            </w:r>
          </w:p>
        </w:tc>
        <w:tc>
          <w:tcPr>
            <w:tcW w:w="1603" w:type="dxa"/>
            <w:tcMar>
              <w:left w:w="28" w:type="dxa"/>
              <w:right w:w="28" w:type="dxa"/>
            </w:tcMar>
            <w:vAlign w:val="center"/>
          </w:tcPr>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w:t>
            </w:r>
          </w:p>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排放量（固体废物产生量）</w:t>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 4 \* GB3 \* MERGEFORMAT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④</w:t>
            </w:r>
            <w:r>
              <w:rPr>
                <w:rFonts w:hint="default" w:ascii="Times New Roman" w:hAnsi="Times New Roman" w:cs="Times New Roman"/>
                <w:color w:val="auto"/>
                <w:highlight w:val="none"/>
              </w:rPr>
              <w:fldChar w:fldCharType="end"/>
            </w:r>
          </w:p>
        </w:tc>
        <w:tc>
          <w:tcPr>
            <w:tcW w:w="1810" w:type="dxa"/>
            <w:tcMar>
              <w:left w:w="28" w:type="dxa"/>
              <w:right w:w="28" w:type="dxa"/>
            </w:tcMar>
            <w:vAlign w:val="center"/>
          </w:tcPr>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以新带老削减量</w:t>
            </w:r>
          </w:p>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（新建项目不填）</w:t>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 5 \* GB3 \* MERGEFORMAT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⑤</w:t>
            </w:r>
            <w:r>
              <w:rPr>
                <w:rFonts w:hint="default" w:ascii="Times New Roman" w:hAnsi="Times New Roman" w:cs="Times New Roman"/>
                <w:color w:val="auto"/>
                <w:highlight w:val="none"/>
              </w:rPr>
              <w:fldChar w:fldCharType="end"/>
            </w:r>
          </w:p>
        </w:tc>
        <w:tc>
          <w:tcPr>
            <w:tcW w:w="1838" w:type="dxa"/>
            <w:tcMar>
              <w:left w:w="28" w:type="dxa"/>
              <w:right w:w="28" w:type="dxa"/>
            </w:tcMar>
            <w:vAlign w:val="center"/>
          </w:tcPr>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本项目建成后</w:t>
            </w:r>
          </w:p>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全厂排放量（固体废物产生量）</w:t>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 6 \* GB3 \* MERGEFORMAT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⑥</w:t>
            </w:r>
            <w:r>
              <w:rPr>
                <w:rFonts w:hint="default" w:ascii="Times New Roman" w:hAnsi="Times New Roman" w:cs="Times New Roman"/>
                <w:color w:val="auto"/>
                <w:highlight w:val="none"/>
              </w:rPr>
              <w:fldChar w:fldCharType="end"/>
            </w:r>
          </w:p>
        </w:tc>
        <w:tc>
          <w:tcPr>
            <w:tcW w:w="1025" w:type="dxa"/>
            <w:tcMar>
              <w:left w:w="28" w:type="dxa"/>
              <w:right w:w="28" w:type="dxa"/>
            </w:tcMar>
            <w:vAlign w:val="center"/>
          </w:tcPr>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变化量</w:t>
            </w:r>
          </w:p>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 7 \* GB3 \* MERGEFORMAT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⑦</w:t>
            </w:r>
            <w:r>
              <w:rPr>
                <w:rFonts w:hint="default" w:ascii="Times New Roman" w:hAnsi="Times New Roman" w:cs="Times New Roman"/>
                <w:color w:val="auto"/>
                <w:highlight w:val="none"/>
              </w:rPr>
              <w:fldChar w:fldCharType="end"/>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Merge w:val="restart"/>
            <w:vAlign w:val="center"/>
          </w:tcPr>
          <w:p>
            <w:pPr>
              <w:pStyle w:val="63"/>
              <w:rPr>
                <w:rFonts w:hint="eastAsia"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废气</w:t>
            </w:r>
          </w:p>
        </w:tc>
        <w:tc>
          <w:tcPr>
            <w:tcW w:w="1543" w:type="dxa"/>
            <w:vAlign w:val="center"/>
          </w:tcPr>
          <w:p>
            <w:pPr>
              <w:pStyle w:val="63"/>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非甲烷总烃</w:t>
            </w:r>
          </w:p>
        </w:tc>
        <w:tc>
          <w:tcPr>
            <w:tcW w:w="1748"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kern w:val="0"/>
                <w:sz w:val="21"/>
                <w:szCs w:val="20"/>
                <w:highlight w:val="none"/>
                <w:lang w:val="en-US" w:eastAsia="zh-CN" w:bidi="ar-SA"/>
              </w:rPr>
              <w:t>0.0525</w:t>
            </w:r>
          </w:p>
        </w:tc>
        <w:tc>
          <w:tcPr>
            <w:tcW w:w="1312"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p>
        </w:tc>
        <w:tc>
          <w:tcPr>
            <w:tcW w:w="1748"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p>
        </w:tc>
        <w:tc>
          <w:tcPr>
            <w:tcW w:w="1603" w:type="dxa"/>
            <w:vAlign w:val="center"/>
          </w:tcPr>
          <w:p>
            <w:pPr>
              <w:pStyle w:val="63"/>
              <w:rPr>
                <w:rFonts w:hint="default" w:ascii="Times New Roman" w:hAnsi="Times New Roman" w:cs="Times New Roman"/>
                <w:color w:val="auto"/>
                <w:kern w:val="0"/>
                <w:sz w:val="21"/>
                <w:szCs w:val="20"/>
                <w:highlight w:val="none"/>
                <w:lang w:val="en-US" w:eastAsia="zh-CN" w:bidi="ar-SA"/>
              </w:rPr>
            </w:pPr>
          </w:p>
        </w:tc>
        <w:tc>
          <w:tcPr>
            <w:tcW w:w="1810" w:type="dxa"/>
            <w:vAlign w:val="center"/>
          </w:tcPr>
          <w:p>
            <w:pPr>
              <w:pStyle w:val="63"/>
              <w:rPr>
                <w:rFonts w:hint="default" w:ascii="Times New Roman" w:hAnsi="Times New Roman" w:cs="Times New Roman"/>
                <w:color w:val="auto"/>
                <w:highlight w:val="none"/>
              </w:rPr>
            </w:pPr>
          </w:p>
        </w:tc>
        <w:tc>
          <w:tcPr>
            <w:tcW w:w="1838"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kern w:val="0"/>
                <w:sz w:val="21"/>
                <w:szCs w:val="20"/>
                <w:highlight w:val="none"/>
                <w:lang w:val="en-US" w:eastAsia="zh-CN" w:bidi="ar-SA"/>
              </w:rPr>
              <w:t>0.0525</w:t>
            </w:r>
          </w:p>
        </w:tc>
        <w:tc>
          <w:tcPr>
            <w:tcW w:w="1025" w:type="dxa"/>
            <w:vAlign w:val="center"/>
          </w:tcPr>
          <w:p>
            <w:pPr>
              <w:pStyle w:val="63"/>
              <w:rPr>
                <w:rFonts w:hint="default" w:ascii="Times New Roman" w:hAnsi="Times New Roman" w:eastAsia="宋体" w:cs="Times New Roman"/>
                <w:color w:val="auto"/>
                <w:highlight w:val="none"/>
                <w:lang w:val="en-US"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Merge w:val="continue"/>
            <w:vAlign w:val="center"/>
          </w:tcPr>
          <w:p>
            <w:pPr>
              <w:pStyle w:val="63"/>
              <w:rPr>
                <w:rFonts w:hint="default" w:ascii="Times New Roman" w:hAnsi="Times New Roman" w:cs="Times New Roman"/>
                <w:color w:val="auto"/>
                <w:highlight w:val="none"/>
              </w:rPr>
            </w:pPr>
          </w:p>
        </w:tc>
        <w:tc>
          <w:tcPr>
            <w:tcW w:w="1543" w:type="dxa"/>
            <w:vAlign w:val="center"/>
          </w:tcPr>
          <w:p>
            <w:pPr>
              <w:pStyle w:val="63"/>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颗粒物</w:t>
            </w:r>
          </w:p>
        </w:tc>
        <w:tc>
          <w:tcPr>
            <w:tcW w:w="1748"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kern w:val="0"/>
                <w:sz w:val="21"/>
                <w:szCs w:val="20"/>
                <w:highlight w:val="none"/>
                <w:lang w:val="en-US" w:eastAsia="zh-CN" w:bidi="ar-SA"/>
              </w:rPr>
              <w:t>0.072</w:t>
            </w:r>
          </w:p>
        </w:tc>
        <w:tc>
          <w:tcPr>
            <w:tcW w:w="1312"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p>
        </w:tc>
        <w:tc>
          <w:tcPr>
            <w:tcW w:w="1748"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p>
        </w:tc>
        <w:tc>
          <w:tcPr>
            <w:tcW w:w="1603" w:type="dxa"/>
            <w:vAlign w:val="center"/>
          </w:tcPr>
          <w:p>
            <w:pPr>
              <w:pStyle w:val="63"/>
              <w:rPr>
                <w:rFonts w:hint="default" w:ascii="Times New Roman" w:hAnsi="Times New Roman" w:cs="Times New Roman"/>
                <w:color w:val="auto"/>
                <w:kern w:val="0"/>
                <w:sz w:val="21"/>
                <w:szCs w:val="20"/>
                <w:highlight w:val="none"/>
                <w:lang w:val="en-US" w:eastAsia="zh-CN" w:bidi="ar-SA"/>
              </w:rPr>
            </w:pPr>
          </w:p>
        </w:tc>
        <w:tc>
          <w:tcPr>
            <w:tcW w:w="1810" w:type="dxa"/>
            <w:vAlign w:val="center"/>
          </w:tcPr>
          <w:p>
            <w:pPr>
              <w:pStyle w:val="63"/>
              <w:rPr>
                <w:rFonts w:hint="default" w:ascii="Times New Roman" w:hAnsi="Times New Roman" w:cs="Times New Roman"/>
                <w:color w:val="auto"/>
                <w:highlight w:val="none"/>
              </w:rPr>
            </w:pPr>
          </w:p>
        </w:tc>
        <w:tc>
          <w:tcPr>
            <w:tcW w:w="1838"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kern w:val="0"/>
                <w:sz w:val="21"/>
                <w:szCs w:val="20"/>
                <w:highlight w:val="none"/>
                <w:lang w:val="en-US" w:eastAsia="zh-CN" w:bidi="ar-SA"/>
              </w:rPr>
              <w:t>0.072</w:t>
            </w:r>
          </w:p>
        </w:tc>
        <w:tc>
          <w:tcPr>
            <w:tcW w:w="1025" w:type="dxa"/>
            <w:vAlign w:val="center"/>
          </w:tcPr>
          <w:p>
            <w:pPr>
              <w:pStyle w:val="63"/>
              <w:rPr>
                <w:rFonts w:hint="default" w:ascii="Times New Roman" w:hAnsi="Times New Roman" w:eastAsia="宋体" w:cs="Times New Roman"/>
                <w:color w:val="auto"/>
                <w:highlight w:val="none"/>
                <w:lang w:val="en-US"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Merge w:val="restart"/>
            <w:vAlign w:val="center"/>
          </w:tcPr>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废水</w:t>
            </w:r>
          </w:p>
        </w:tc>
        <w:tc>
          <w:tcPr>
            <w:tcW w:w="1543"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default" w:ascii="Times New Roman" w:hAnsi="Times New Roman" w:cs="Times New Roman"/>
                <w:color w:val="auto"/>
                <w:highlight w:val="none"/>
              </w:rPr>
              <w:t>COD</w:t>
            </w:r>
          </w:p>
        </w:tc>
        <w:tc>
          <w:tcPr>
            <w:tcW w:w="1748"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kern w:val="0"/>
                <w:sz w:val="21"/>
                <w:szCs w:val="20"/>
                <w:highlight w:val="none"/>
                <w:lang w:val="en-US" w:eastAsia="zh-CN" w:bidi="ar-SA"/>
              </w:rPr>
              <w:t>0.048</w:t>
            </w:r>
          </w:p>
        </w:tc>
        <w:tc>
          <w:tcPr>
            <w:tcW w:w="1312"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1748"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1603"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1810"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1838"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kern w:val="0"/>
                <w:sz w:val="21"/>
                <w:szCs w:val="20"/>
                <w:highlight w:val="none"/>
                <w:lang w:val="en-US" w:eastAsia="zh-CN" w:bidi="ar-SA"/>
              </w:rPr>
              <w:t>0.048</w:t>
            </w:r>
          </w:p>
        </w:tc>
        <w:tc>
          <w:tcPr>
            <w:tcW w:w="1025"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Merge w:val="continue"/>
            <w:vAlign w:val="center"/>
          </w:tcPr>
          <w:p>
            <w:pPr>
              <w:pStyle w:val="63"/>
              <w:rPr>
                <w:rFonts w:hint="default" w:ascii="Times New Roman" w:hAnsi="Times New Roman" w:cs="Times New Roman"/>
                <w:color w:val="auto"/>
                <w:highlight w:val="none"/>
              </w:rPr>
            </w:pPr>
          </w:p>
        </w:tc>
        <w:tc>
          <w:tcPr>
            <w:tcW w:w="1543"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default" w:ascii="Times New Roman" w:hAnsi="Times New Roman" w:cs="Times New Roman"/>
                <w:color w:val="auto"/>
                <w:highlight w:val="none"/>
              </w:rPr>
              <w:t>氨氮</w:t>
            </w:r>
          </w:p>
        </w:tc>
        <w:tc>
          <w:tcPr>
            <w:tcW w:w="1748"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kern w:val="0"/>
                <w:sz w:val="21"/>
                <w:szCs w:val="20"/>
                <w:highlight w:val="none"/>
                <w:lang w:val="en-US" w:eastAsia="zh-CN" w:bidi="ar-SA"/>
              </w:rPr>
              <w:t>0.003</w:t>
            </w:r>
          </w:p>
        </w:tc>
        <w:tc>
          <w:tcPr>
            <w:tcW w:w="1312"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1748"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1603"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1810"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1838"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kern w:val="0"/>
                <w:sz w:val="21"/>
                <w:szCs w:val="20"/>
                <w:highlight w:val="none"/>
                <w:lang w:val="en-US" w:eastAsia="zh-CN" w:bidi="ar-SA"/>
              </w:rPr>
              <w:t>0.003</w:t>
            </w:r>
          </w:p>
        </w:tc>
        <w:tc>
          <w:tcPr>
            <w:tcW w:w="1025"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Merge w:val="restart"/>
            <w:vAlign w:val="center"/>
          </w:tcPr>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一般工业</w:t>
            </w:r>
          </w:p>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固体废物</w:t>
            </w:r>
          </w:p>
        </w:tc>
        <w:tc>
          <w:tcPr>
            <w:tcW w:w="1543"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金属屑</w:t>
            </w:r>
          </w:p>
        </w:tc>
        <w:tc>
          <w:tcPr>
            <w:tcW w:w="1748"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0.064</w:t>
            </w:r>
          </w:p>
        </w:tc>
        <w:tc>
          <w:tcPr>
            <w:tcW w:w="1312"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p>
        </w:tc>
        <w:tc>
          <w:tcPr>
            <w:tcW w:w="1748"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p>
        </w:tc>
        <w:tc>
          <w:tcPr>
            <w:tcW w:w="1603"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p>
        </w:tc>
        <w:tc>
          <w:tcPr>
            <w:tcW w:w="1810"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p>
        </w:tc>
        <w:tc>
          <w:tcPr>
            <w:tcW w:w="1838"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0.064</w:t>
            </w:r>
          </w:p>
        </w:tc>
        <w:tc>
          <w:tcPr>
            <w:tcW w:w="1025" w:type="dxa"/>
            <w:vAlign w:val="center"/>
          </w:tcPr>
          <w:p>
            <w:pPr>
              <w:pStyle w:val="63"/>
              <w:ind w:firstLine="0" w:firstLineChars="0"/>
              <w:rPr>
                <w:rFonts w:hint="default" w:ascii="Times New Roman" w:hAnsi="Times New Roman" w:eastAsia="宋体" w:cs="Times New Roman"/>
                <w:color w:val="auto"/>
                <w:highlight w:val="none"/>
                <w:lang w:val="en-US"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Merge w:val="continue"/>
            <w:vAlign w:val="center"/>
          </w:tcPr>
          <w:p>
            <w:pPr>
              <w:pStyle w:val="63"/>
              <w:rPr>
                <w:rFonts w:hint="default" w:ascii="Times New Roman" w:hAnsi="Times New Roman" w:cs="Times New Roman"/>
                <w:color w:val="auto"/>
                <w:highlight w:val="none"/>
              </w:rPr>
            </w:pPr>
          </w:p>
        </w:tc>
        <w:tc>
          <w:tcPr>
            <w:tcW w:w="1543"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废边角料</w:t>
            </w:r>
          </w:p>
        </w:tc>
        <w:tc>
          <w:tcPr>
            <w:tcW w:w="1748"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highlight w:val="none"/>
                <w:lang w:val="en-US" w:eastAsia="zh-CN"/>
              </w:rPr>
            </w:pPr>
          </w:p>
        </w:tc>
        <w:tc>
          <w:tcPr>
            <w:tcW w:w="1312"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p>
        </w:tc>
        <w:tc>
          <w:tcPr>
            <w:tcW w:w="1748"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p>
        </w:tc>
        <w:tc>
          <w:tcPr>
            <w:tcW w:w="1603" w:type="dxa"/>
            <w:vAlign w:val="center"/>
          </w:tcPr>
          <w:p>
            <w:pPr>
              <w:pStyle w:val="63"/>
              <w:rPr>
                <w:rFonts w:hint="eastAsia" w:ascii="Times New Roman" w:hAnsi="Times New Roman"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20</w:t>
            </w:r>
          </w:p>
        </w:tc>
        <w:tc>
          <w:tcPr>
            <w:tcW w:w="1810" w:type="dxa"/>
            <w:vAlign w:val="center"/>
          </w:tcPr>
          <w:p>
            <w:pPr>
              <w:pStyle w:val="63"/>
              <w:rPr>
                <w:rFonts w:hint="default" w:ascii="Times New Roman" w:hAnsi="Times New Roman" w:eastAsia="宋体" w:cs="Times New Roman"/>
                <w:color w:val="auto"/>
                <w:kern w:val="0"/>
                <w:sz w:val="21"/>
                <w:szCs w:val="20"/>
                <w:highlight w:val="none"/>
                <w:lang w:val="en-US" w:eastAsia="zh-CN" w:bidi="ar-SA"/>
              </w:rPr>
            </w:pPr>
          </w:p>
        </w:tc>
        <w:tc>
          <w:tcPr>
            <w:tcW w:w="1838"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kern w:val="0"/>
                <w:sz w:val="21"/>
                <w:szCs w:val="20"/>
                <w:highlight w:val="none"/>
                <w:lang w:val="en-US" w:eastAsia="zh-CN" w:bidi="ar-SA"/>
              </w:rPr>
              <w:t>20</w:t>
            </w:r>
          </w:p>
        </w:tc>
        <w:tc>
          <w:tcPr>
            <w:tcW w:w="1025"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+20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Merge w:val="continue"/>
            <w:vAlign w:val="center"/>
          </w:tcPr>
          <w:p>
            <w:pPr>
              <w:pStyle w:val="63"/>
              <w:rPr>
                <w:rFonts w:hint="default" w:ascii="Times New Roman" w:hAnsi="Times New Roman" w:cs="Times New Roman"/>
                <w:color w:val="auto"/>
                <w:highlight w:val="none"/>
              </w:rPr>
            </w:pPr>
          </w:p>
        </w:tc>
        <w:tc>
          <w:tcPr>
            <w:tcW w:w="1543"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废包装袋、废植物油瓶</w:t>
            </w:r>
          </w:p>
        </w:tc>
        <w:tc>
          <w:tcPr>
            <w:tcW w:w="1748"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0.2</w:t>
            </w:r>
          </w:p>
        </w:tc>
        <w:tc>
          <w:tcPr>
            <w:tcW w:w="1312"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1748"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1603"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1810"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c>
          <w:tcPr>
            <w:tcW w:w="1838"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0.2</w:t>
            </w:r>
          </w:p>
        </w:tc>
        <w:tc>
          <w:tcPr>
            <w:tcW w:w="1025"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Merge w:val="restart"/>
            <w:vAlign w:val="center"/>
          </w:tcPr>
          <w:p>
            <w:pPr>
              <w:pStyle w:val="63"/>
              <w:rPr>
                <w:rFonts w:hint="default" w:ascii="Times New Roman" w:hAnsi="Times New Roman" w:cs="Times New Roman"/>
                <w:color w:val="auto"/>
                <w:highlight w:val="none"/>
              </w:rPr>
            </w:pPr>
            <w:r>
              <w:rPr>
                <w:rFonts w:hint="default" w:ascii="Times New Roman" w:hAnsi="Times New Roman" w:cs="Times New Roman"/>
                <w:color w:val="auto"/>
                <w:highlight w:val="none"/>
              </w:rPr>
              <w:t>危险废物</w:t>
            </w:r>
          </w:p>
        </w:tc>
        <w:tc>
          <w:tcPr>
            <w:tcW w:w="1543"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废涂料桶</w:t>
            </w:r>
          </w:p>
        </w:tc>
        <w:tc>
          <w:tcPr>
            <w:tcW w:w="1748"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0.2</w:t>
            </w:r>
          </w:p>
        </w:tc>
        <w:tc>
          <w:tcPr>
            <w:tcW w:w="1312" w:type="dxa"/>
            <w:vAlign w:val="center"/>
          </w:tcPr>
          <w:p>
            <w:pPr>
              <w:pStyle w:val="63"/>
              <w:rPr>
                <w:rFonts w:hint="default" w:ascii="Times New Roman" w:hAnsi="Times New Roman" w:cs="Times New Roman"/>
                <w:color w:val="auto"/>
                <w:highlight w:val="none"/>
              </w:rPr>
            </w:pPr>
          </w:p>
        </w:tc>
        <w:tc>
          <w:tcPr>
            <w:tcW w:w="1748" w:type="dxa"/>
            <w:vAlign w:val="center"/>
          </w:tcPr>
          <w:p>
            <w:pPr>
              <w:pStyle w:val="63"/>
              <w:rPr>
                <w:rFonts w:hint="default" w:ascii="Times New Roman" w:hAnsi="Times New Roman" w:cs="Times New Roman"/>
                <w:color w:val="auto"/>
                <w:highlight w:val="none"/>
              </w:rPr>
            </w:pPr>
          </w:p>
        </w:tc>
        <w:tc>
          <w:tcPr>
            <w:tcW w:w="1603" w:type="dxa"/>
            <w:vAlign w:val="center"/>
          </w:tcPr>
          <w:p>
            <w:pPr>
              <w:pStyle w:val="63"/>
              <w:ind w:firstLine="0" w:firstLineChars="0"/>
              <w:rPr>
                <w:rFonts w:hint="default" w:ascii="Times New Roman" w:hAnsi="Times New Roman" w:cs="Times New Roman"/>
                <w:color w:val="auto"/>
                <w:highlight w:val="none"/>
                <w:lang w:val="en-US" w:eastAsia="zh-CN"/>
              </w:rPr>
            </w:pPr>
          </w:p>
        </w:tc>
        <w:tc>
          <w:tcPr>
            <w:tcW w:w="1810" w:type="dxa"/>
            <w:vAlign w:val="center"/>
          </w:tcPr>
          <w:p>
            <w:pPr>
              <w:pStyle w:val="63"/>
              <w:ind w:firstLine="0" w:firstLineChars="0"/>
              <w:rPr>
                <w:rFonts w:hint="default" w:ascii="Times New Roman" w:hAnsi="Times New Roman" w:cs="Times New Roman"/>
                <w:color w:val="auto"/>
                <w:highlight w:val="none"/>
                <w:lang w:val="en-US" w:eastAsia="zh-CN"/>
              </w:rPr>
            </w:pPr>
          </w:p>
        </w:tc>
        <w:tc>
          <w:tcPr>
            <w:tcW w:w="1838"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0.2</w:t>
            </w:r>
          </w:p>
        </w:tc>
        <w:tc>
          <w:tcPr>
            <w:tcW w:w="1025"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Merge w:val="continue"/>
            <w:vAlign w:val="center"/>
          </w:tcPr>
          <w:p>
            <w:pPr>
              <w:pStyle w:val="63"/>
              <w:rPr>
                <w:rFonts w:hint="default" w:ascii="Times New Roman" w:hAnsi="Times New Roman" w:cs="Times New Roman"/>
                <w:color w:val="auto"/>
                <w:highlight w:val="none"/>
              </w:rPr>
            </w:pPr>
          </w:p>
        </w:tc>
        <w:tc>
          <w:tcPr>
            <w:tcW w:w="1543"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废活性炭</w:t>
            </w:r>
          </w:p>
        </w:tc>
        <w:tc>
          <w:tcPr>
            <w:tcW w:w="1748"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0.05</w:t>
            </w:r>
          </w:p>
        </w:tc>
        <w:tc>
          <w:tcPr>
            <w:tcW w:w="1312" w:type="dxa"/>
            <w:vAlign w:val="center"/>
          </w:tcPr>
          <w:p>
            <w:pPr>
              <w:pStyle w:val="63"/>
              <w:rPr>
                <w:rFonts w:hint="default" w:ascii="Times New Roman" w:hAnsi="Times New Roman" w:cs="Times New Roman"/>
                <w:color w:val="auto"/>
                <w:highlight w:val="none"/>
              </w:rPr>
            </w:pPr>
          </w:p>
        </w:tc>
        <w:tc>
          <w:tcPr>
            <w:tcW w:w="1748" w:type="dxa"/>
            <w:vAlign w:val="center"/>
          </w:tcPr>
          <w:p>
            <w:pPr>
              <w:pStyle w:val="63"/>
              <w:rPr>
                <w:rFonts w:hint="default" w:ascii="Times New Roman" w:hAnsi="Times New Roman" w:cs="Times New Roman"/>
                <w:color w:val="auto"/>
                <w:highlight w:val="none"/>
              </w:rPr>
            </w:pPr>
          </w:p>
        </w:tc>
        <w:tc>
          <w:tcPr>
            <w:tcW w:w="1603" w:type="dxa"/>
            <w:vAlign w:val="center"/>
          </w:tcPr>
          <w:p>
            <w:pPr>
              <w:pStyle w:val="63"/>
              <w:ind w:firstLine="0" w:firstLineChars="0"/>
              <w:rPr>
                <w:rFonts w:hint="default" w:ascii="Times New Roman" w:hAnsi="Times New Roman" w:cs="Times New Roman"/>
                <w:color w:val="auto"/>
                <w:highlight w:val="none"/>
                <w:lang w:val="en-US" w:eastAsia="zh-CN"/>
              </w:rPr>
            </w:pPr>
          </w:p>
        </w:tc>
        <w:tc>
          <w:tcPr>
            <w:tcW w:w="1810" w:type="dxa"/>
            <w:vAlign w:val="center"/>
          </w:tcPr>
          <w:p>
            <w:pPr>
              <w:pStyle w:val="63"/>
              <w:ind w:firstLine="0" w:firstLineChars="0"/>
              <w:rPr>
                <w:rFonts w:hint="default" w:ascii="Times New Roman" w:hAnsi="Times New Roman" w:cs="Times New Roman"/>
                <w:color w:val="auto"/>
                <w:highlight w:val="none"/>
                <w:lang w:val="en-US" w:eastAsia="zh-CN"/>
              </w:rPr>
            </w:pPr>
          </w:p>
        </w:tc>
        <w:tc>
          <w:tcPr>
            <w:tcW w:w="1838"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0.05</w:t>
            </w:r>
          </w:p>
        </w:tc>
        <w:tc>
          <w:tcPr>
            <w:tcW w:w="1025"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Merge w:val="continue"/>
            <w:vAlign w:val="center"/>
          </w:tcPr>
          <w:p>
            <w:pPr>
              <w:pStyle w:val="63"/>
              <w:rPr>
                <w:rFonts w:hint="default" w:ascii="Times New Roman" w:hAnsi="Times New Roman" w:cs="Times New Roman"/>
                <w:color w:val="auto"/>
                <w:highlight w:val="none"/>
              </w:rPr>
            </w:pPr>
          </w:p>
        </w:tc>
        <w:tc>
          <w:tcPr>
            <w:tcW w:w="1543" w:type="dxa"/>
            <w:vAlign w:val="center"/>
          </w:tcPr>
          <w:p>
            <w:pPr>
              <w:pStyle w:val="63"/>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废切削液桶</w:t>
            </w:r>
          </w:p>
        </w:tc>
        <w:tc>
          <w:tcPr>
            <w:tcW w:w="1748" w:type="dxa"/>
            <w:vAlign w:val="center"/>
          </w:tcPr>
          <w:p>
            <w:pPr>
              <w:pStyle w:val="63"/>
              <w:rPr>
                <w:rFonts w:hint="default" w:ascii="Times New Roman" w:hAnsi="Times New Roman" w:eastAsia="宋体" w:cs="Times New Roman"/>
                <w:color w:val="auto"/>
                <w:highlight w:val="none"/>
                <w:lang w:val="en-US" w:eastAsia="zh-CN"/>
              </w:rPr>
            </w:pPr>
          </w:p>
        </w:tc>
        <w:tc>
          <w:tcPr>
            <w:tcW w:w="1312" w:type="dxa"/>
            <w:vAlign w:val="center"/>
          </w:tcPr>
          <w:p>
            <w:pPr>
              <w:pStyle w:val="63"/>
              <w:rPr>
                <w:rFonts w:hint="default" w:ascii="Times New Roman" w:hAnsi="Times New Roman" w:cs="Times New Roman"/>
                <w:color w:val="auto"/>
                <w:highlight w:val="none"/>
              </w:rPr>
            </w:pPr>
          </w:p>
        </w:tc>
        <w:tc>
          <w:tcPr>
            <w:tcW w:w="1748" w:type="dxa"/>
            <w:vAlign w:val="center"/>
          </w:tcPr>
          <w:p>
            <w:pPr>
              <w:pStyle w:val="63"/>
              <w:rPr>
                <w:rFonts w:hint="default" w:ascii="Times New Roman" w:hAnsi="Times New Roman" w:cs="Times New Roman"/>
                <w:color w:val="auto"/>
                <w:highlight w:val="none"/>
              </w:rPr>
            </w:pPr>
          </w:p>
        </w:tc>
        <w:tc>
          <w:tcPr>
            <w:tcW w:w="1603"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highlight w:val="none"/>
                <w:lang w:val="en-US" w:eastAsia="zh-CN"/>
              </w:rPr>
              <w:t>0.06</w:t>
            </w:r>
          </w:p>
        </w:tc>
        <w:tc>
          <w:tcPr>
            <w:tcW w:w="1810" w:type="dxa"/>
            <w:vAlign w:val="center"/>
          </w:tcPr>
          <w:p>
            <w:pPr>
              <w:pStyle w:val="63"/>
              <w:ind w:firstLine="0" w:firstLineChars="0"/>
              <w:rPr>
                <w:rFonts w:hint="default" w:ascii="Times New Roman" w:hAnsi="Times New Roman" w:cs="Times New Roman"/>
                <w:color w:val="auto"/>
                <w:highlight w:val="none"/>
                <w:lang w:val="en-US" w:eastAsia="zh-CN"/>
              </w:rPr>
            </w:pPr>
          </w:p>
        </w:tc>
        <w:tc>
          <w:tcPr>
            <w:tcW w:w="1838" w:type="dxa"/>
            <w:vAlign w:val="center"/>
          </w:tcPr>
          <w:p>
            <w:pPr>
              <w:pStyle w:val="63"/>
              <w:ind w:firstLine="0" w:firstLineChars="0"/>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highlight w:val="none"/>
                <w:lang w:val="en-US" w:eastAsia="zh-CN"/>
              </w:rPr>
              <w:t>0.06</w:t>
            </w:r>
          </w:p>
        </w:tc>
        <w:tc>
          <w:tcPr>
            <w:tcW w:w="1025"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highlight w:val="none"/>
                <w:lang w:val="en-US" w:eastAsia="zh-CN"/>
              </w:rPr>
              <w:t>+0.06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Merge w:val="continue"/>
            <w:vAlign w:val="center"/>
          </w:tcPr>
          <w:p>
            <w:pPr>
              <w:pStyle w:val="63"/>
              <w:rPr>
                <w:rFonts w:hint="default" w:ascii="Times New Roman" w:hAnsi="Times New Roman" w:cs="Times New Roman"/>
                <w:color w:val="auto"/>
                <w:highlight w:val="none"/>
              </w:rPr>
            </w:pPr>
          </w:p>
        </w:tc>
        <w:tc>
          <w:tcPr>
            <w:tcW w:w="1543" w:type="dxa"/>
            <w:vAlign w:val="center"/>
          </w:tcPr>
          <w:p>
            <w:pPr>
              <w:pStyle w:val="63"/>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废导轨油桶</w:t>
            </w:r>
          </w:p>
        </w:tc>
        <w:tc>
          <w:tcPr>
            <w:tcW w:w="1748" w:type="dxa"/>
            <w:vAlign w:val="center"/>
          </w:tcPr>
          <w:p>
            <w:pPr>
              <w:pStyle w:val="63"/>
              <w:rPr>
                <w:rFonts w:hint="default" w:ascii="Times New Roman" w:hAnsi="Times New Roman" w:eastAsia="宋体" w:cs="Times New Roman"/>
                <w:color w:val="auto"/>
                <w:highlight w:val="none"/>
                <w:lang w:val="en-US" w:eastAsia="zh-CN"/>
              </w:rPr>
            </w:pPr>
          </w:p>
        </w:tc>
        <w:tc>
          <w:tcPr>
            <w:tcW w:w="1312" w:type="dxa"/>
            <w:vAlign w:val="center"/>
          </w:tcPr>
          <w:p>
            <w:pPr>
              <w:pStyle w:val="63"/>
              <w:rPr>
                <w:rFonts w:hint="default" w:ascii="Times New Roman" w:hAnsi="Times New Roman" w:cs="Times New Roman"/>
                <w:color w:val="auto"/>
                <w:highlight w:val="none"/>
              </w:rPr>
            </w:pPr>
          </w:p>
        </w:tc>
        <w:tc>
          <w:tcPr>
            <w:tcW w:w="1748" w:type="dxa"/>
            <w:vAlign w:val="center"/>
          </w:tcPr>
          <w:p>
            <w:pPr>
              <w:pStyle w:val="63"/>
              <w:rPr>
                <w:rFonts w:hint="default" w:ascii="Times New Roman" w:hAnsi="Times New Roman" w:cs="Times New Roman"/>
                <w:color w:val="auto"/>
                <w:highlight w:val="none"/>
              </w:rPr>
            </w:pPr>
          </w:p>
        </w:tc>
        <w:tc>
          <w:tcPr>
            <w:tcW w:w="1603" w:type="dxa"/>
            <w:vAlign w:val="center"/>
          </w:tcPr>
          <w:p>
            <w:pPr>
              <w:pStyle w:val="63"/>
              <w:ind w:firstLine="0" w:firstLineChars="0"/>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highlight w:val="none"/>
                <w:lang w:val="en-US" w:eastAsia="zh-CN"/>
              </w:rPr>
              <w:t>0.04</w:t>
            </w:r>
          </w:p>
        </w:tc>
        <w:tc>
          <w:tcPr>
            <w:tcW w:w="1810" w:type="dxa"/>
            <w:vAlign w:val="center"/>
          </w:tcPr>
          <w:p>
            <w:pPr>
              <w:pStyle w:val="63"/>
              <w:ind w:firstLine="0" w:firstLineChars="0"/>
              <w:rPr>
                <w:rFonts w:hint="default" w:ascii="Times New Roman" w:hAnsi="Times New Roman" w:cs="Times New Roman"/>
                <w:color w:val="auto"/>
                <w:highlight w:val="none"/>
                <w:lang w:val="en-US" w:eastAsia="zh-CN"/>
              </w:rPr>
            </w:pPr>
          </w:p>
        </w:tc>
        <w:tc>
          <w:tcPr>
            <w:tcW w:w="1838" w:type="dxa"/>
            <w:vAlign w:val="center"/>
          </w:tcPr>
          <w:p>
            <w:pPr>
              <w:pStyle w:val="63"/>
              <w:ind w:firstLine="0" w:firstLineChars="0"/>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highlight w:val="none"/>
                <w:lang w:val="en-US" w:eastAsia="zh-CN"/>
              </w:rPr>
              <w:t>0.04</w:t>
            </w:r>
          </w:p>
        </w:tc>
        <w:tc>
          <w:tcPr>
            <w:tcW w:w="1025"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highlight w:val="none"/>
                <w:lang w:val="en-US" w:eastAsia="zh-CN"/>
              </w:rPr>
              <w:t>+0.04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Merge w:val="continue"/>
            <w:vAlign w:val="center"/>
          </w:tcPr>
          <w:p>
            <w:pPr>
              <w:pStyle w:val="63"/>
              <w:rPr>
                <w:rFonts w:hint="default" w:ascii="Times New Roman" w:hAnsi="Times New Roman" w:cs="Times New Roman"/>
                <w:color w:val="auto"/>
                <w:highlight w:val="none"/>
              </w:rPr>
            </w:pPr>
          </w:p>
        </w:tc>
        <w:tc>
          <w:tcPr>
            <w:tcW w:w="1543" w:type="dxa"/>
            <w:vAlign w:val="center"/>
          </w:tcPr>
          <w:p>
            <w:pPr>
              <w:pStyle w:val="63"/>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废切削液</w:t>
            </w:r>
          </w:p>
        </w:tc>
        <w:tc>
          <w:tcPr>
            <w:tcW w:w="1748" w:type="dxa"/>
            <w:vAlign w:val="center"/>
          </w:tcPr>
          <w:p>
            <w:pPr>
              <w:pStyle w:val="63"/>
              <w:rPr>
                <w:rFonts w:hint="default" w:ascii="Times New Roman" w:hAnsi="Times New Roman" w:eastAsia="宋体" w:cs="Times New Roman"/>
                <w:color w:val="auto"/>
                <w:highlight w:val="none"/>
                <w:lang w:val="en-US" w:eastAsia="zh-CN"/>
              </w:rPr>
            </w:pPr>
          </w:p>
        </w:tc>
        <w:tc>
          <w:tcPr>
            <w:tcW w:w="1312" w:type="dxa"/>
            <w:vAlign w:val="center"/>
          </w:tcPr>
          <w:p>
            <w:pPr>
              <w:pStyle w:val="63"/>
              <w:rPr>
                <w:rFonts w:hint="default" w:ascii="Times New Roman" w:hAnsi="Times New Roman" w:cs="Times New Roman"/>
                <w:color w:val="auto"/>
                <w:highlight w:val="none"/>
              </w:rPr>
            </w:pPr>
          </w:p>
        </w:tc>
        <w:tc>
          <w:tcPr>
            <w:tcW w:w="1748" w:type="dxa"/>
            <w:vAlign w:val="center"/>
          </w:tcPr>
          <w:p>
            <w:pPr>
              <w:pStyle w:val="63"/>
              <w:rPr>
                <w:rFonts w:hint="default" w:ascii="Times New Roman" w:hAnsi="Times New Roman" w:cs="Times New Roman"/>
                <w:color w:val="auto"/>
                <w:highlight w:val="none"/>
              </w:rPr>
            </w:pPr>
          </w:p>
        </w:tc>
        <w:tc>
          <w:tcPr>
            <w:tcW w:w="1603" w:type="dxa"/>
            <w:vAlign w:val="center"/>
          </w:tcPr>
          <w:p>
            <w:pPr>
              <w:pStyle w:val="63"/>
              <w:ind w:firstLine="0" w:firstLineChars="0"/>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0.05</w:t>
            </w:r>
          </w:p>
        </w:tc>
        <w:tc>
          <w:tcPr>
            <w:tcW w:w="1810" w:type="dxa"/>
            <w:vAlign w:val="center"/>
          </w:tcPr>
          <w:p>
            <w:pPr>
              <w:pStyle w:val="63"/>
              <w:ind w:firstLine="0" w:firstLineChars="0"/>
              <w:rPr>
                <w:rFonts w:hint="default" w:ascii="Times New Roman" w:hAnsi="Times New Roman" w:cs="Times New Roman"/>
                <w:color w:val="auto"/>
                <w:highlight w:val="none"/>
                <w:lang w:val="en-US" w:eastAsia="zh-CN"/>
              </w:rPr>
            </w:pPr>
          </w:p>
        </w:tc>
        <w:tc>
          <w:tcPr>
            <w:tcW w:w="1838" w:type="dxa"/>
            <w:vAlign w:val="center"/>
          </w:tcPr>
          <w:p>
            <w:pPr>
              <w:pStyle w:val="63"/>
              <w:ind w:firstLine="0" w:firstLineChars="0"/>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0.05</w:t>
            </w:r>
          </w:p>
        </w:tc>
        <w:tc>
          <w:tcPr>
            <w:tcW w:w="1025" w:type="dxa"/>
            <w:vAlign w:val="center"/>
          </w:tcPr>
          <w:p>
            <w:pPr>
              <w:pStyle w:val="63"/>
              <w:ind w:firstLine="0" w:firstLineChars="0"/>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Merge w:val="continue"/>
            <w:vAlign w:val="center"/>
          </w:tcPr>
          <w:p>
            <w:pPr>
              <w:pStyle w:val="63"/>
              <w:rPr>
                <w:rFonts w:hint="default" w:ascii="Times New Roman" w:hAnsi="Times New Roman" w:cs="Times New Roman"/>
                <w:color w:val="auto"/>
                <w:highlight w:val="none"/>
              </w:rPr>
            </w:pPr>
          </w:p>
        </w:tc>
        <w:tc>
          <w:tcPr>
            <w:tcW w:w="1543" w:type="dxa"/>
            <w:vAlign w:val="center"/>
          </w:tcPr>
          <w:p>
            <w:pPr>
              <w:pStyle w:val="63"/>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废含切削液金属屑</w:t>
            </w:r>
          </w:p>
        </w:tc>
        <w:tc>
          <w:tcPr>
            <w:tcW w:w="1748" w:type="dxa"/>
            <w:vAlign w:val="center"/>
          </w:tcPr>
          <w:p>
            <w:pPr>
              <w:pStyle w:val="63"/>
              <w:rPr>
                <w:rFonts w:hint="default" w:ascii="Times New Roman" w:hAnsi="Times New Roman" w:eastAsia="宋体" w:cs="Times New Roman"/>
                <w:color w:val="auto"/>
                <w:highlight w:val="none"/>
                <w:lang w:val="en-US" w:eastAsia="zh-CN"/>
              </w:rPr>
            </w:pPr>
          </w:p>
        </w:tc>
        <w:tc>
          <w:tcPr>
            <w:tcW w:w="1312" w:type="dxa"/>
            <w:vAlign w:val="center"/>
          </w:tcPr>
          <w:p>
            <w:pPr>
              <w:pStyle w:val="63"/>
              <w:rPr>
                <w:rFonts w:hint="default" w:ascii="Times New Roman" w:hAnsi="Times New Roman" w:cs="Times New Roman"/>
                <w:color w:val="auto"/>
                <w:highlight w:val="none"/>
              </w:rPr>
            </w:pPr>
          </w:p>
        </w:tc>
        <w:tc>
          <w:tcPr>
            <w:tcW w:w="1748" w:type="dxa"/>
            <w:vAlign w:val="center"/>
          </w:tcPr>
          <w:p>
            <w:pPr>
              <w:pStyle w:val="63"/>
              <w:rPr>
                <w:rFonts w:hint="default" w:ascii="Times New Roman" w:hAnsi="Times New Roman" w:cs="Times New Roman"/>
                <w:color w:val="auto"/>
                <w:highlight w:val="none"/>
              </w:rPr>
            </w:pPr>
          </w:p>
        </w:tc>
        <w:tc>
          <w:tcPr>
            <w:tcW w:w="1603" w:type="dxa"/>
            <w:vAlign w:val="center"/>
          </w:tcPr>
          <w:p>
            <w:pPr>
              <w:pStyle w:val="63"/>
              <w:ind w:firstLine="0" w:firstLineChars="0"/>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80</w:t>
            </w:r>
          </w:p>
        </w:tc>
        <w:tc>
          <w:tcPr>
            <w:tcW w:w="1810" w:type="dxa"/>
            <w:vAlign w:val="center"/>
          </w:tcPr>
          <w:p>
            <w:pPr>
              <w:pStyle w:val="63"/>
              <w:ind w:firstLine="0" w:firstLineChars="0"/>
              <w:rPr>
                <w:rFonts w:hint="default" w:ascii="Times New Roman" w:hAnsi="Times New Roman" w:cs="Times New Roman"/>
                <w:color w:val="auto"/>
                <w:highlight w:val="none"/>
                <w:lang w:val="en-US" w:eastAsia="zh-CN"/>
              </w:rPr>
            </w:pPr>
          </w:p>
        </w:tc>
        <w:tc>
          <w:tcPr>
            <w:tcW w:w="1838" w:type="dxa"/>
            <w:vAlign w:val="center"/>
          </w:tcPr>
          <w:p>
            <w:pPr>
              <w:pStyle w:val="63"/>
              <w:ind w:firstLine="0" w:firstLineChars="0"/>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highlight w:val="none"/>
                <w:lang w:val="en-US" w:eastAsia="zh-CN"/>
              </w:rPr>
              <w:t>80</w:t>
            </w:r>
          </w:p>
        </w:tc>
        <w:tc>
          <w:tcPr>
            <w:tcW w:w="1025" w:type="dxa"/>
            <w:vAlign w:val="center"/>
          </w:tcPr>
          <w:p>
            <w:pPr>
              <w:pStyle w:val="63"/>
              <w:ind w:firstLine="0" w:firstLineChars="0"/>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cs="Times New Roman"/>
                <w:color w:val="auto"/>
                <w:highlight w:val="none"/>
                <w:lang w:val="en-US" w:eastAsia="zh-CN"/>
              </w:rPr>
              <w:t>+80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46" w:type="dxa"/>
            <w:vAlign w:val="center"/>
          </w:tcPr>
          <w:p>
            <w:pPr>
              <w:pStyle w:val="63"/>
              <w:rPr>
                <w:rFonts w:hint="eastAsia"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办公生活</w:t>
            </w:r>
          </w:p>
        </w:tc>
        <w:tc>
          <w:tcPr>
            <w:tcW w:w="1543"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生活垃圾</w:t>
            </w:r>
          </w:p>
        </w:tc>
        <w:tc>
          <w:tcPr>
            <w:tcW w:w="1748"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default"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1.25</w:t>
            </w:r>
          </w:p>
        </w:tc>
        <w:tc>
          <w:tcPr>
            <w:tcW w:w="1312" w:type="dxa"/>
            <w:vAlign w:val="center"/>
          </w:tcPr>
          <w:p>
            <w:pPr>
              <w:pStyle w:val="63"/>
              <w:rPr>
                <w:rFonts w:hint="default" w:ascii="Times New Roman" w:hAnsi="Times New Roman" w:cs="Times New Roman"/>
                <w:color w:val="auto"/>
                <w:highlight w:val="none"/>
              </w:rPr>
            </w:pPr>
          </w:p>
        </w:tc>
        <w:tc>
          <w:tcPr>
            <w:tcW w:w="1748" w:type="dxa"/>
            <w:vAlign w:val="center"/>
          </w:tcPr>
          <w:p>
            <w:pPr>
              <w:pStyle w:val="63"/>
              <w:rPr>
                <w:rFonts w:hint="default" w:ascii="Times New Roman" w:hAnsi="Times New Roman" w:cs="Times New Roman"/>
                <w:color w:val="auto"/>
                <w:highlight w:val="none"/>
              </w:rPr>
            </w:pPr>
          </w:p>
        </w:tc>
        <w:tc>
          <w:tcPr>
            <w:tcW w:w="1603" w:type="dxa"/>
            <w:vAlign w:val="center"/>
          </w:tcPr>
          <w:p>
            <w:pPr>
              <w:pStyle w:val="63"/>
              <w:ind w:firstLine="0" w:firstLineChars="0"/>
              <w:rPr>
                <w:rFonts w:hint="eastAsia" w:ascii="Times New Roman" w:hAnsi="Times New Roman" w:cs="Times New Roman"/>
                <w:color w:val="auto"/>
                <w:highlight w:val="none"/>
                <w:lang w:val="en-US" w:eastAsia="zh-CN"/>
              </w:rPr>
            </w:pPr>
          </w:p>
        </w:tc>
        <w:tc>
          <w:tcPr>
            <w:tcW w:w="1810" w:type="dxa"/>
            <w:vAlign w:val="center"/>
          </w:tcPr>
          <w:p>
            <w:pPr>
              <w:pStyle w:val="63"/>
              <w:ind w:firstLine="0" w:firstLineChars="0"/>
              <w:rPr>
                <w:rFonts w:hint="default" w:ascii="Times New Roman" w:hAnsi="Times New Roman" w:cs="Times New Roman"/>
                <w:color w:val="auto"/>
                <w:highlight w:val="none"/>
                <w:lang w:val="en-US" w:eastAsia="zh-CN"/>
              </w:rPr>
            </w:pPr>
          </w:p>
        </w:tc>
        <w:tc>
          <w:tcPr>
            <w:tcW w:w="1838" w:type="dxa"/>
            <w:vAlign w:val="center"/>
          </w:tcPr>
          <w:p>
            <w:pPr>
              <w:pStyle w:val="63"/>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ind w:firstLine="0" w:firstLineChars="0"/>
              <w:textAlignment w:val="auto"/>
              <w:rPr>
                <w:rFonts w:hint="eastAsia" w:ascii="Times New Roman" w:hAnsi="Times New Roman" w:eastAsia="宋体" w:cs="Times New Roman"/>
                <w:color w:val="auto"/>
                <w:kern w:val="0"/>
                <w:sz w:val="21"/>
                <w:szCs w:val="20"/>
                <w:highlight w:val="none"/>
                <w:lang w:val="en-US" w:eastAsia="zh-CN" w:bidi="ar-SA"/>
              </w:rPr>
            </w:pPr>
            <w:r>
              <w:rPr>
                <w:rFonts w:hint="eastAsia" w:ascii="Times New Roman" w:hAnsi="Times New Roman" w:eastAsia="宋体" w:cs="Times New Roman"/>
                <w:color w:val="auto"/>
                <w:highlight w:val="none"/>
                <w:lang w:val="en-US" w:eastAsia="zh-CN"/>
              </w:rPr>
              <w:t>1.25</w:t>
            </w:r>
          </w:p>
        </w:tc>
        <w:tc>
          <w:tcPr>
            <w:tcW w:w="1025" w:type="dxa"/>
            <w:vAlign w:val="center"/>
          </w:tcPr>
          <w:p>
            <w:pPr>
              <w:pStyle w:val="63"/>
              <w:ind w:firstLine="0" w:firstLineChars="0"/>
              <w:rPr>
                <w:rFonts w:hint="default" w:ascii="Times New Roman" w:hAnsi="Times New Roman" w:cs="Times New Roman"/>
                <w:color w:val="auto"/>
                <w:highlight w:val="none"/>
              </w:rPr>
            </w:pPr>
          </w:p>
        </w:tc>
      </w:tr>
    </w:tbl>
    <w:p>
      <w:pPr>
        <w:pStyle w:val="63"/>
        <w:spacing w:beforeLines="80" w:after="24"/>
        <w:jc w:val="left"/>
        <w:rPr>
          <w:rFonts w:hint="default" w:ascii="Times New Roman" w:hAnsi="Times New Roman" w:cs="Times New Roman"/>
          <w:snapToGrid w:val="0"/>
          <w:color w:val="auto"/>
          <w:spacing w:val="-6"/>
          <w:kern w:val="21"/>
          <w:szCs w:val="21"/>
          <w:highlight w:val="none"/>
        </w:rPr>
      </w:pPr>
      <w:r>
        <w:rPr>
          <w:rFonts w:hint="default" w:ascii="Times New Roman" w:hAnsi="Times New Roman" w:cs="Times New Roman"/>
          <w:snapToGrid w:val="0"/>
          <w:color w:val="auto"/>
          <w:kern w:val="21"/>
          <w:szCs w:val="21"/>
          <w:highlight w:val="none"/>
        </w:rPr>
        <w:t>注：</w:t>
      </w:r>
      <w:r>
        <w:rPr>
          <w:rFonts w:hint="default" w:ascii="Times New Roman" w:hAnsi="Times New Roman" w:cs="Times New Roman"/>
          <w:snapToGrid w:val="0"/>
          <w:color w:val="auto"/>
          <w:spacing w:val="-16"/>
          <w:kern w:val="21"/>
          <w:szCs w:val="21"/>
          <w:highlight w:val="none"/>
        </w:rPr>
        <w:fldChar w:fldCharType="begin"/>
      </w:r>
      <w:r>
        <w:rPr>
          <w:rFonts w:hint="default" w:ascii="Times New Roman" w:hAnsi="Times New Roman" w:cs="Times New Roman"/>
          <w:snapToGrid w:val="0"/>
          <w:color w:val="auto"/>
          <w:spacing w:val="-16"/>
          <w:kern w:val="21"/>
          <w:szCs w:val="21"/>
          <w:highlight w:val="none"/>
        </w:rPr>
        <w:instrText xml:space="preserve"> = 6 \* GB3 \* MERGEFORMAT </w:instrText>
      </w:r>
      <w:r>
        <w:rPr>
          <w:rFonts w:hint="default" w:ascii="Times New Roman" w:hAnsi="Times New Roman" w:cs="Times New Roman"/>
          <w:snapToGrid w:val="0"/>
          <w:color w:val="auto"/>
          <w:spacing w:val="-16"/>
          <w:kern w:val="21"/>
          <w:szCs w:val="21"/>
          <w:highlight w:val="none"/>
        </w:rPr>
        <w:fldChar w:fldCharType="separate"/>
      </w:r>
      <w:r>
        <w:rPr>
          <w:rFonts w:hint="default" w:ascii="Times New Roman" w:hAnsi="Times New Roman" w:cs="Times New Roman"/>
          <w:color w:val="auto"/>
          <w:szCs w:val="21"/>
          <w:highlight w:val="none"/>
        </w:rPr>
        <w:t>⑥</w:t>
      </w:r>
      <w:r>
        <w:rPr>
          <w:rFonts w:hint="default" w:ascii="Times New Roman" w:hAnsi="Times New Roman" w:cs="Times New Roman"/>
          <w:snapToGrid w:val="0"/>
          <w:color w:val="auto"/>
          <w:spacing w:val="-16"/>
          <w:kern w:val="21"/>
          <w:szCs w:val="21"/>
          <w:highlight w:val="none"/>
        </w:rPr>
        <w:fldChar w:fldCharType="end"/>
      </w:r>
      <w:r>
        <w:rPr>
          <w:rFonts w:hint="default" w:ascii="Times New Roman" w:hAnsi="Times New Roman" w:cs="Times New Roman"/>
          <w:snapToGrid w:val="0"/>
          <w:color w:val="auto"/>
          <w:spacing w:val="-16"/>
          <w:kern w:val="21"/>
          <w:szCs w:val="21"/>
          <w:highlight w:val="none"/>
        </w:rPr>
        <w:t>=</w:t>
      </w:r>
      <w:r>
        <w:rPr>
          <w:rFonts w:hint="default" w:ascii="Times New Roman" w:hAnsi="Times New Roman" w:cs="Times New Roman"/>
          <w:snapToGrid w:val="0"/>
          <w:color w:val="auto"/>
          <w:spacing w:val="-6"/>
          <w:kern w:val="21"/>
          <w:szCs w:val="21"/>
          <w:highlight w:val="none"/>
        </w:rPr>
        <w:fldChar w:fldCharType="begin"/>
      </w:r>
      <w:r>
        <w:rPr>
          <w:rFonts w:hint="default" w:ascii="Times New Roman" w:hAnsi="Times New Roman" w:cs="Times New Roman"/>
          <w:snapToGrid w:val="0"/>
          <w:color w:val="auto"/>
          <w:spacing w:val="-6"/>
          <w:kern w:val="21"/>
          <w:szCs w:val="21"/>
          <w:highlight w:val="none"/>
        </w:rPr>
        <w:instrText xml:space="preserve"> = 1 \* GB3 \* MERGEFORMAT </w:instrText>
      </w:r>
      <w:r>
        <w:rPr>
          <w:rFonts w:hint="default" w:ascii="Times New Roman" w:hAnsi="Times New Roman" w:cs="Times New Roman"/>
          <w:snapToGrid w:val="0"/>
          <w:color w:val="auto"/>
          <w:spacing w:val="-6"/>
          <w:kern w:val="21"/>
          <w:szCs w:val="21"/>
          <w:highlight w:val="none"/>
        </w:rPr>
        <w:fldChar w:fldCharType="separate"/>
      </w:r>
      <w:r>
        <w:rPr>
          <w:rFonts w:hint="default" w:ascii="Times New Roman" w:hAnsi="Times New Roman" w:cs="Times New Roman"/>
          <w:color w:val="auto"/>
          <w:szCs w:val="21"/>
          <w:highlight w:val="none"/>
        </w:rPr>
        <w:t>①</w:t>
      </w:r>
      <w:r>
        <w:rPr>
          <w:rFonts w:hint="default" w:ascii="Times New Roman" w:hAnsi="Times New Roman" w:cs="Times New Roman"/>
          <w:snapToGrid w:val="0"/>
          <w:color w:val="auto"/>
          <w:spacing w:val="-6"/>
          <w:kern w:val="21"/>
          <w:szCs w:val="21"/>
          <w:highlight w:val="none"/>
        </w:rPr>
        <w:fldChar w:fldCharType="end"/>
      </w:r>
      <w:r>
        <w:rPr>
          <w:rFonts w:hint="default" w:ascii="Times New Roman" w:hAnsi="Times New Roman" w:cs="Times New Roman"/>
          <w:snapToGrid w:val="0"/>
          <w:color w:val="auto"/>
          <w:spacing w:val="-6"/>
          <w:kern w:val="21"/>
          <w:szCs w:val="21"/>
          <w:highlight w:val="none"/>
        </w:rPr>
        <w:t>+</w:t>
      </w:r>
      <w:r>
        <w:rPr>
          <w:rFonts w:hint="default" w:ascii="Times New Roman" w:hAnsi="Times New Roman" w:cs="Times New Roman"/>
          <w:snapToGrid w:val="0"/>
          <w:color w:val="auto"/>
          <w:spacing w:val="-6"/>
          <w:kern w:val="21"/>
          <w:szCs w:val="21"/>
          <w:highlight w:val="none"/>
        </w:rPr>
        <w:fldChar w:fldCharType="begin"/>
      </w:r>
      <w:r>
        <w:rPr>
          <w:rFonts w:hint="default" w:ascii="Times New Roman" w:hAnsi="Times New Roman" w:cs="Times New Roman"/>
          <w:snapToGrid w:val="0"/>
          <w:color w:val="auto"/>
          <w:spacing w:val="-6"/>
          <w:kern w:val="21"/>
          <w:szCs w:val="21"/>
          <w:highlight w:val="none"/>
        </w:rPr>
        <w:instrText xml:space="preserve"> = 3 \* GB3 \* MERGEFORMAT </w:instrText>
      </w:r>
      <w:r>
        <w:rPr>
          <w:rFonts w:hint="default" w:ascii="Times New Roman" w:hAnsi="Times New Roman" w:cs="Times New Roman"/>
          <w:snapToGrid w:val="0"/>
          <w:color w:val="auto"/>
          <w:spacing w:val="-6"/>
          <w:kern w:val="21"/>
          <w:szCs w:val="21"/>
          <w:highlight w:val="none"/>
        </w:rPr>
        <w:fldChar w:fldCharType="separate"/>
      </w:r>
      <w:r>
        <w:rPr>
          <w:rFonts w:hint="default" w:ascii="Times New Roman" w:hAnsi="Times New Roman" w:cs="Times New Roman"/>
          <w:color w:val="auto"/>
          <w:szCs w:val="21"/>
          <w:highlight w:val="none"/>
        </w:rPr>
        <w:t>③</w:t>
      </w:r>
      <w:r>
        <w:rPr>
          <w:rFonts w:hint="default" w:ascii="Times New Roman" w:hAnsi="Times New Roman" w:cs="Times New Roman"/>
          <w:snapToGrid w:val="0"/>
          <w:color w:val="auto"/>
          <w:spacing w:val="-6"/>
          <w:kern w:val="21"/>
          <w:szCs w:val="21"/>
          <w:highlight w:val="none"/>
        </w:rPr>
        <w:fldChar w:fldCharType="end"/>
      </w:r>
      <w:r>
        <w:rPr>
          <w:rFonts w:hint="default" w:ascii="Times New Roman" w:hAnsi="Times New Roman" w:cs="Times New Roman"/>
          <w:snapToGrid w:val="0"/>
          <w:color w:val="auto"/>
          <w:spacing w:val="-6"/>
          <w:kern w:val="21"/>
          <w:szCs w:val="21"/>
          <w:highlight w:val="none"/>
        </w:rPr>
        <w:t>+</w:t>
      </w:r>
      <w:r>
        <w:rPr>
          <w:rFonts w:hint="default" w:ascii="Times New Roman" w:hAnsi="Times New Roman" w:cs="Times New Roman"/>
          <w:snapToGrid w:val="0"/>
          <w:color w:val="auto"/>
          <w:spacing w:val="-6"/>
          <w:kern w:val="21"/>
          <w:szCs w:val="21"/>
          <w:highlight w:val="none"/>
        </w:rPr>
        <w:fldChar w:fldCharType="begin"/>
      </w:r>
      <w:r>
        <w:rPr>
          <w:rFonts w:hint="default" w:ascii="Times New Roman" w:hAnsi="Times New Roman" w:cs="Times New Roman"/>
          <w:snapToGrid w:val="0"/>
          <w:color w:val="auto"/>
          <w:spacing w:val="-6"/>
          <w:kern w:val="21"/>
          <w:szCs w:val="21"/>
          <w:highlight w:val="none"/>
        </w:rPr>
        <w:instrText xml:space="preserve"> = 4 \* GB3 \* MERGEFORMAT </w:instrText>
      </w:r>
      <w:r>
        <w:rPr>
          <w:rFonts w:hint="default" w:ascii="Times New Roman" w:hAnsi="Times New Roman" w:cs="Times New Roman"/>
          <w:snapToGrid w:val="0"/>
          <w:color w:val="auto"/>
          <w:spacing w:val="-6"/>
          <w:kern w:val="21"/>
          <w:szCs w:val="21"/>
          <w:highlight w:val="none"/>
        </w:rPr>
        <w:fldChar w:fldCharType="separate"/>
      </w:r>
      <w:r>
        <w:rPr>
          <w:rFonts w:hint="default" w:ascii="Times New Roman" w:hAnsi="Times New Roman" w:cs="Times New Roman"/>
          <w:color w:val="auto"/>
          <w:szCs w:val="21"/>
          <w:highlight w:val="none"/>
        </w:rPr>
        <w:t>④</w:t>
      </w:r>
      <w:r>
        <w:rPr>
          <w:rFonts w:hint="default" w:ascii="Times New Roman" w:hAnsi="Times New Roman" w:cs="Times New Roman"/>
          <w:snapToGrid w:val="0"/>
          <w:color w:val="auto"/>
          <w:spacing w:val="-6"/>
          <w:kern w:val="21"/>
          <w:szCs w:val="21"/>
          <w:highlight w:val="none"/>
        </w:rPr>
        <w:fldChar w:fldCharType="end"/>
      </w:r>
      <w:r>
        <w:rPr>
          <w:rFonts w:hint="default" w:ascii="Times New Roman" w:hAnsi="Times New Roman" w:cs="Times New Roman"/>
          <w:snapToGrid w:val="0"/>
          <w:color w:val="auto"/>
          <w:spacing w:val="-6"/>
          <w:kern w:val="21"/>
          <w:szCs w:val="21"/>
          <w:highlight w:val="none"/>
        </w:rPr>
        <w:t>-</w:t>
      </w:r>
      <w:r>
        <w:rPr>
          <w:rFonts w:hint="default" w:ascii="Times New Roman" w:hAnsi="Times New Roman" w:cs="Times New Roman"/>
          <w:snapToGrid w:val="0"/>
          <w:color w:val="auto"/>
          <w:spacing w:val="-16"/>
          <w:kern w:val="21"/>
          <w:szCs w:val="21"/>
          <w:highlight w:val="none"/>
        </w:rPr>
        <w:fldChar w:fldCharType="begin"/>
      </w:r>
      <w:r>
        <w:rPr>
          <w:rFonts w:hint="default" w:ascii="Times New Roman" w:hAnsi="Times New Roman" w:cs="Times New Roman"/>
          <w:snapToGrid w:val="0"/>
          <w:color w:val="auto"/>
          <w:spacing w:val="-16"/>
          <w:kern w:val="21"/>
          <w:szCs w:val="21"/>
          <w:highlight w:val="none"/>
        </w:rPr>
        <w:instrText xml:space="preserve"> = 5 \* GB3 \* MERGEFORMAT </w:instrText>
      </w:r>
      <w:r>
        <w:rPr>
          <w:rFonts w:hint="default" w:ascii="Times New Roman" w:hAnsi="Times New Roman" w:cs="Times New Roman"/>
          <w:snapToGrid w:val="0"/>
          <w:color w:val="auto"/>
          <w:spacing w:val="-16"/>
          <w:kern w:val="21"/>
          <w:szCs w:val="21"/>
          <w:highlight w:val="none"/>
        </w:rPr>
        <w:fldChar w:fldCharType="separate"/>
      </w:r>
      <w:r>
        <w:rPr>
          <w:rFonts w:hint="default" w:ascii="Times New Roman" w:hAnsi="Times New Roman" w:cs="Times New Roman"/>
          <w:color w:val="auto"/>
          <w:szCs w:val="21"/>
          <w:highlight w:val="none"/>
        </w:rPr>
        <w:t>⑤</w:t>
      </w:r>
      <w:r>
        <w:rPr>
          <w:rFonts w:hint="default" w:ascii="Times New Roman" w:hAnsi="Times New Roman" w:cs="Times New Roman"/>
          <w:snapToGrid w:val="0"/>
          <w:color w:val="auto"/>
          <w:spacing w:val="-16"/>
          <w:kern w:val="21"/>
          <w:szCs w:val="21"/>
          <w:highlight w:val="none"/>
        </w:rPr>
        <w:fldChar w:fldCharType="end"/>
      </w:r>
      <w:r>
        <w:rPr>
          <w:rFonts w:hint="default" w:ascii="Times New Roman" w:hAnsi="Times New Roman" w:cs="Times New Roman"/>
          <w:snapToGrid w:val="0"/>
          <w:color w:val="auto"/>
          <w:spacing w:val="-16"/>
          <w:kern w:val="21"/>
          <w:szCs w:val="21"/>
          <w:highlight w:val="none"/>
        </w:rPr>
        <w:t>；</w:t>
      </w:r>
      <w:r>
        <w:rPr>
          <w:rFonts w:hint="default" w:ascii="Times New Roman" w:hAnsi="Times New Roman" w:cs="Times New Roman"/>
          <w:snapToGrid w:val="0"/>
          <w:color w:val="auto"/>
          <w:spacing w:val="-6"/>
          <w:kern w:val="21"/>
          <w:szCs w:val="21"/>
          <w:highlight w:val="none"/>
        </w:rPr>
        <w:fldChar w:fldCharType="begin"/>
      </w:r>
      <w:r>
        <w:rPr>
          <w:rFonts w:hint="default" w:ascii="Times New Roman" w:hAnsi="Times New Roman" w:cs="Times New Roman"/>
          <w:snapToGrid w:val="0"/>
          <w:color w:val="auto"/>
          <w:spacing w:val="-6"/>
          <w:kern w:val="21"/>
          <w:szCs w:val="21"/>
          <w:highlight w:val="none"/>
        </w:rPr>
        <w:instrText xml:space="preserve"> = 7 \* GB3 \* MERGEFORMAT </w:instrText>
      </w:r>
      <w:r>
        <w:rPr>
          <w:rFonts w:hint="default" w:ascii="Times New Roman" w:hAnsi="Times New Roman" w:cs="Times New Roman"/>
          <w:snapToGrid w:val="0"/>
          <w:color w:val="auto"/>
          <w:spacing w:val="-6"/>
          <w:kern w:val="21"/>
          <w:szCs w:val="21"/>
          <w:highlight w:val="none"/>
        </w:rPr>
        <w:fldChar w:fldCharType="separate"/>
      </w:r>
      <w:r>
        <w:rPr>
          <w:rFonts w:hint="default" w:ascii="Times New Roman" w:hAnsi="Times New Roman" w:cs="Times New Roman"/>
          <w:color w:val="auto"/>
          <w:szCs w:val="21"/>
          <w:highlight w:val="none"/>
        </w:rPr>
        <w:t>⑦</w:t>
      </w:r>
      <w:r>
        <w:rPr>
          <w:rFonts w:hint="default" w:ascii="Times New Roman" w:hAnsi="Times New Roman" w:cs="Times New Roman"/>
          <w:snapToGrid w:val="0"/>
          <w:color w:val="auto"/>
          <w:spacing w:val="-6"/>
          <w:kern w:val="21"/>
          <w:szCs w:val="21"/>
          <w:highlight w:val="none"/>
        </w:rPr>
        <w:fldChar w:fldCharType="end"/>
      </w:r>
      <w:r>
        <w:rPr>
          <w:rFonts w:hint="default" w:ascii="Times New Roman" w:hAnsi="Times New Roman" w:cs="Times New Roman"/>
          <w:snapToGrid w:val="0"/>
          <w:color w:val="auto"/>
          <w:spacing w:val="-6"/>
          <w:kern w:val="21"/>
          <w:szCs w:val="21"/>
          <w:highlight w:val="none"/>
        </w:rPr>
        <w:t>=</w:t>
      </w:r>
      <w:r>
        <w:rPr>
          <w:rFonts w:hint="default" w:ascii="Times New Roman" w:hAnsi="Times New Roman" w:cs="Times New Roman"/>
          <w:snapToGrid w:val="0"/>
          <w:color w:val="auto"/>
          <w:spacing w:val="-16"/>
          <w:kern w:val="21"/>
          <w:szCs w:val="21"/>
          <w:highlight w:val="none"/>
        </w:rPr>
        <w:fldChar w:fldCharType="begin"/>
      </w:r>
      <w:r>
        <w:rPr>
          <w:rFonts w:hint="default" w:ascii="Times New Roman" w:hAnsi="Times New Roman" w:cs="Times New Roman"/>
          <w:snapToGrid w:val="0"/>
          <w:color w:val="auto"/>
          <w:spacing w:val="-16"/>
          <w:kern w:val="21"/>
          <w:szCs w:val="21"/>
          <w:highlight w:val="none"/>
        </w:rPr>
        <w:instrText xml:space="preserve"> = 6 \* GB3 \* MERGEFORMAT </w:instrText>
      </w:r>
      <w:r>
        <w:rPr>
          <w:rFonts w:hint="default" w:ascii="Times New Roman" w:hAnsi="Times New Roman" w:cs="Times New Roman"/>
          <w:snapToGrid w:val="0"/>
          <w:color w:val="auto"/>
          <w:spacing w:val="-16"/>
          <w:kern w:val="21"/>
          <w:szCs w:val="21"/>
          <w:highlight w:val="none"/>
        </w:rPr>
        <w:fldChar w:fldCharType="separate"/>
      </w:r>
      <w:r>
        <w:rPr>
          <w:rFonts w:hint="default" w:ascii="Times New Roman" w:hAnsi="Times New Roman" w:cs="Times New Roman"/>
          <w:color w:val="auto"/>
          <w:szCs w:val="21"/>
          <w:highlight w:val="none"/>
        </w:rPr>
        <w:t>⑥</w:t>
      </w:r>
      <w:r>
        <w:rPr>
          <w:rFonts w:hint="default" w:ascii="Times New Roman" w:hAnsi="Times New Roman" w:cs="Times New Roman"/>
          <w:snapToGrid w:val="0"/>
          <w:color w:val="auto"/>
          <w:spacing w:val="-16"/>
          <w:kern w:val="21"/>
          <w:szCs w:val="21"/>
          <w:highlight w:val="none"/>
        </w:rPr>
        <w:fldChar w:fldCharType="end"/>
      </w:r>
      <w:r>
        <w:rPr>
          <w:rFonts w:hint="default" w:ascii="Times New Roman" w:hAnsi="Times New Roman" w:cs="Times New Roman"/>
          <w:snapToGrid w:val="0"/>
          <w:color w:val="auto"/>
          <w:spacing w:val="-16"/>
          <w:kern w:val="21"/>
          <w:szCs w:val="21"/>
          <w:highlight w:val="none"/>
        </w:rPr>
        <w:t>-</w:t>
      </w:r>
      <w:r>
        <w:rPr>
          <w:rFonts w:hint="default" w:ascii="Times New Roman" w:hAnsi="Times New Roman" w:cs="Times New Roman"/>
          <w:snapToGrid w:val="0"/>
          <w:color w:val="auto"/>
          <w:spacing w:val="-6"/>
          <w:kern w:val="21"/>
          <w:szCs w:val="21"/>
          <w:highlight w:val="none"/>
        </w:rPr>
        <w:fldChar w:fldCharType="begin"/>
      </w:r>
      <w:r>
        <w:rPr>
          <w:rFonts w:hint="default" w:ascii="Times New Roman" w:hAnsi="Times New Roman" w:cs="Times New Roman"/>
          <w:snapToGrid w:val="0"/>
          <w:color w:val="auto"/>
          <w:spacing w:val="-6"/>
          <w:kern w:val="21"/>
          <w:szCs w:val="21"/>
          <w:highlight w:val="none"/>
        </w:rPr>
        <w:instrText xml:space="preserve"> = 1 \* GB3 \* MERGEFORMAT </w:instrText>
      </w:r>
      <w:r>
        <w:rPr>
          <w:rFonts w:hint="default" w:ascii="Times New Roman" w:hAnsi="Times New Roman" w:cs="Times New Roman"/>
          <w:snapToGrid w:val="0"/>
          <w:color w:val="auto"/>
          <w:spacing w:val="-6"/>
          <w:kern w:val="21"/>
          <w:szCs w:val="21"/>
          <w:highlight w:val="none"/>
        </w:rPr>
        <w:fldChar w:fldCharType="separate"/>
      </w:r>
      <w:r>
        <w:rPr>
          <w:rFonts w:hint="default" w:ascii="Times New Roman" w:hAnsi="Times New Roman" w:cs="Times New Roman"/>
          <w:color w:val="auto"/>
          <w:szCs w:val="21"/>
          <w:highlight w:val="none"/>
        </w:rPr>
        <w:t>①</w:t>
      </w:r>
      <w:r>
        <w:rPr>
          <w:rFonts w:hint="default" w:ascii="Times New Roman" w:hAnsi="Times New Roman" w:cs="Times New Roman"/>
          <w:snapToGrid w:val="0"/>
          <w:color w:val="auto"/>
          <w:spacing w:val="-6"/>
          <w:kern w:val="21"/>
          <w:szCs w:val="21"/>
          <w:highlight w:val="none"/>
        </w:rPr>
        <w:fldChar w:fldCharType="end"/>
      </w:r>
    </w:p>
    <w:p>
      <w:pPr>
        <w:rPr>
          <w:rFonts w:hint="default" w:ascii="Times New Roman" w:hAnsi="Times New Roman" w:cs="Times New Roman"/>
          <w:color w:val="auto"/>
          <w:highlight w:val="none"/>
        </w:rPr>
      </w:pPr>
    </w:p>
    <w:p>
      <w:pPr>
        <w:rPr>
          <w:color w:val="auto"/>
          <w:highlight w:val="none"/>
        </w:rPr>
      </w:pPr>
    </w:p>
    <w:p>
      <w:pPr>
        <w:pStyle w:val="40"/>
        <w:rPr>
          <w:rFonts w:hint="default"/>
          <w:color w:val="auto"/>
          <w:highlight w:val="none"/>
        </w:rPr>
        <w:sectPr>
          <w:footerReference r:id="rId6" w:type="default"/>
          <w:pgSz w:w="16838" w:h="11906" w:orient="landscape"/>
          <w:pgMar w:top="1701" w:right="1531" w:bottom="1701" w:left="1531" w:header="851" w:footer="851" w:gutter="0"/>
          <w:cols w:space="720" w:num="1"/>
          <w:docGrid w:linePitch="312" w:charSpace="0"/>
        </w:sectPr>
      </w:pPr>
    </w:p>
    <w:tbl>
      <w:tblPr>
        <w:tblStyle w:val="31"/>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1" w:type="dxa"/>
          </w:tcPr>
          <w:p>
            <w:pPr>
              <w:pStyle w:val="5"/>
              <w:rPr>
                <w:rFonts w:hint="default" w:ascii="Times New Roman" w:hAnsi="Times New Roman" w:cs="Times New Roman"/>
                <w:color w:val="auto"/>
                <w:highlight w:val="none"/>
              </w:rPr>
            </w:pPr>
            <w:r>
              <w:rPr>
                <w:rFonts w:hint="default" w:ascii="Times New Roman" w:hAnsi="Times New Roman" w:cs="Times New Roman"/>
                <w:color w:val="auto"/>
                <w:highlight w:val="none"/>
              </w:rPr>
              <w:t>附图及附件</w:t>
            </w: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附图1  项目地理位置图</w:t>
            </w:r>
          </w:p>
          <w:p>
            <w:pPr>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附图2  项目平面布置图</w:t>
            </w:r>
          </w:p>
          <w:p>
            <w:pPr>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附图3  项目周边关系图</w:t>
            </w:r>
          </w:p>
          <w:p>
            <w:pPr>
              <w:pStyle w:val="27"/>
              <w:spacing w:before="0" w:beforeAutospacing="0" w:after="0" w:afterAutospacing="0"/>
              <w:rPr>
                <w:rFonts w:hint="eastAsia" w:ascii="Times New Roman" w:hAnsi="Times New Roman" w:cs="Times New Roman"/>
                <w:color w:val="auto"/>
                <w:szCs w:val="24"/>
                <w:highlight w:val="none"/>
                <w:lang w:val="en-US" w:eastAsia="zh-CN"/>
              </w:rPr>
            </w:pPr>
            <w:r>
              <w:rPr>
                <w:rFonts w:hint="eastAsia" w:ascii="Times New Roman" w:hAnsi="Times New Roman" w:cs="Times New Roman"/>
                <w:color w:val="auto"/>
                <w:szCs w:val="24"/>
                <w:highlight w:val="none"/>
                <w:lang w:val="en-US" w:eastAsia="zh-CN"/>
              </w:rPr>
              <w:t>附图4  分区防渗图</w:t>
            </w:r>
          </w:p>
          <w:p>
            <w:pPr>
              <w:pStyle w:val="27"/>
              <w:spacing w:before="0" w:beforeAutospacing="0" w:after="0" w:afterAutospacing="0"/>
              <w:rPr>
                <w:rFonts w:hint="default" w:ascii="Times New Roman" w:hAnsi="Times New Roman" w:cs="Times New Roman"/>
                <w:color w:val="auto"/>
                <w:szCs w:val="24"/>
                <w:highlight w:val="none"/>
                <w:lang w:val="en-US" w:eastAsia="zh-CN"/>
              </w:rPr>
            </w:pPr>
            <w:r>
              <w:rPr>
                <w:rFonts w:hint="eastAsia" w:ascii="Times New Roman" w:hAnsi="Times New Roman" w:cs="Times New Roman"/>
                <w:color w:val="auto"/>
                <w:szCs w:val="24"/>
                <w:highlight w:val="none"/>
                <w:lang w:val="en-US" w:eastAsia="zh-CN"/>
              </w:rPr>
              <w:t>附图5  引用噪声监测点位图</w:t>
            </w:r>
          </w:p>
          <w:p>
            <w:pPr>
              <w:ind w:firstLine="480" w:firstLineChars="200"/>
              <w:rPr>
                <w:rFonts w:hint="default" w:ascii="Times New Roman" w:hAnsi="Times New Roman" w:cs="Times New Roman"/>
                <w:color w:val="auto"/>
                <w:highlight w:val="none"/>
              </w:rPr>
            </w:pPr>
          </w:p>
          <w:p>
            <w:pPr>
              <w:ind w:firstLine="480" w:firstLineChars="200"/>
              <w:rPr>
                <w:rFonts w:hint="default" w:ascii="Times New Roman" w:hAnsi="Times New Roman" w:cs="Times New Roman"/>
                <w:color w:val="auto"/>
                <w:highlight w:val="none"/>
              </w:rPr>
            </w:pPr>
          </w:p>
          <w:p>
            <w:pPr>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附件1  营业执照</w:t>
            </w:r>
          </w:p>
          <w:p>
            <w:pPr>
              <w:ind w:firstLine="480" w:firstLineChars="200"/>
              <w:rPr>
                <w:rFonts w:hint="eastAsia"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 xml:space="preserve">附件2  </w:t>
            </w:r>
            <w:r>
              <w:rPr>
                <w:rFonts w:hint="eastAsia" w:cs="Times New Roman"/>
                <w:color w:val="auto"/>
                <w:highlight w:val="none"/>
                <w:lang w:val="en-US" w:eastAsia="zh-CN"/>
              </w:rPr>
              <w:t>土地证</w:t>
            </w:r>
          </w:p>
          <w:p>
            <w:pPr>
              <w:ind w:firstLine="480" w:firstLineChars="200"/>
              <w:rPr>
                <w:rFonts w:hint="default" w:ascii="Times New Roman" w:hAnsi="Times New Roman" w:eastAsia="宋体" w:cs="Times New Roman"/>
                <w:color w:val="auto"/>
                <w:highlight w:val="none"/>
              </w:rPr>
            </w:pPr>
            <w:r>
              <w:rPr>
                <w:rFonts w:hint="default" w:ascii="Times New Roman" w:hAnsi="Times New Roman" w:cs="Times New Roman"/>
                <w:color w:val="auto"/>
                <w:highlight w:val="none"/>
              </w:rPr>
              <w:t>附件</w:t>
            </w:r>
            <w:r>
              <w:rPr>
                <w:rFonts w:hint="eastAsia" w:cs="Times New Roman"/>
                <w:color w:val="auto"/>
                <w:highlight w:val="none"/>
                <w:lang w:val="en-US" w:eastAsia="zh-CN"/>
              </w:rPr>
              <w:t>3</w:t>
            </w:r>
            <w:r>
              <w:rPr>
                <w:rFonts w:hint="default" w:ascii="Times New Roman" w:hAnsi="Times New Roman" w:cs="Times New Roman"/>
                <w:color w:val="auto"/>
                <w:highlight w:val="none"/>
              </w:rPr>
              <w:t xml:space="preserve">  企</w:t>
            </w:r>
            <w:r>
              <w:rPr>
                <w:rFonts w:hint="default" w:ascii="Times New Roman" w:hAnsi="Times New Roman" w:eastAsia="宋体" w:cs="Times New Roman"/>
                <w:color w:val="auto"/>
                <w:highlight w:val="none"/>
              </w:rPr>
              <w:t>业投资项目备案信息</w:t>
            </w:r>
          </w:p>
          <w:p>
            <w:pPr>
              <w:ind w:firstLine="480" w:firstLineChars="200"/>
              <w:rPr>
                <w:rFonts w:hint="eastAsia"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rPr>
              <w:t>附件</w:t>
            </w:r>
            <w:r>
              <w:rPr>
                <w:rFonts w:hint="eastAsia" w:ascii="Times New Roman" w:hAnsi="Times New Roman" w:eastAsia="宋体" w:cs="Times New Roman"/>
                <w:color w:val="auto"/>
                <w:highlight w:val="none"/>
                <w:lang w:val="en-US" w:eastAsia="zh-CN"/>
              </w:rPr>
              <w:t>4</w:t>
            </w:r>
            <w:r>
              <w:rPr>
                <w:rFonts w:hint="default" w:ascii="Times New Roman" w:hAnsi="Times New Roman" w:eastAsia="宋体" w:cs="Times New Roman"/>
                <w:color w:val="auto"/>
                <w:highlight w:val="none"/>
              </w:rPr>
              <w:t xml:space="preserve">  </w:t>
            </w:r>
            <w:r>
              <w:rPr>
                <w:rFonts w:hint="eastAsia" w:ascii="Times New Roman" w:hAnsi="Times New Roman" w:eastAsia="宋体" w:cs="Times New Roman"/>
                <w:color w:val="auto"/>
                <w:highlight w:val="none"/>
                <w:lang w:val="en-US" w:eastAsia="zh-CN"/>
              </w:rPr>
              <w:t>排污登记回执</w:t>
            </w:r>
          </w:p>
          <w:p>
            <w:pPr>
              <w:ind w:firstLine="480" w:firstLineChars="20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附件5</w:t>
            </w:r>
            <w:r>
              <w:rPr>
                <w:rFonts w:hint="eastAsia" w:cs="Times New Roman"/>
                <w:color w:val="auto"/>
                <w:highlight w:val="none"/>
                <w:lang w:val="en-US" w:eastAsia="zh-CN"/>
              </w:rPr>
              <w:t xml:space="preserve"> </w:t>
            </w:r>
            <w:r>
              <w:rPr>
                <w:rFonts w:hint="eastAsia" w:ascii="Times New Roman" w:hAnsi="Times New Roman" w:eastAsia="宋体" w:cs="Times New Roman"/>
                <w:color w:val="auto"/>
                <w:highlight w:val="none"/>
                <w:lang w:val="en-US" w:eastAsia="zh-CN"/>
              </w:rPr>
              <w:t xml:space="preserve"> 现有工程环评及验收手续</w:t>
            </w:r>
          </w:p>
          <w:p>
            <w:pPr>
              <w:ind w:firstLine="480" w:firstLineChars="20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 xml:space="preserve">附件6 </w:t>
            </w:r>
            <w:r>
              <w:rPr>
                <w:rFonts w:hint="eastAsia" w:cs="Times New Roman"/>
                <w:color w:val="auto"/>
                <w:highlight w:val="none"/>
                <w:lang w:val="en-US" w:eastAsia="zh-CN"/>
              </w:rPr>
              <w:t xml:space="preserve"> 2022年</w:t>
            </w:r>
            <w:r>
              <w:rPr>
                <w:rFonts w:hint="eastAsia" w:ascii="Times New Roman" w:hAnsi="Times New Roman" w:eastAsia="宋体" w:cs="Times New Roman"/>
                <w:color w:val="auto"/>
                <w:highlight w:val="none"/>
                <w:lang w:val="en-US" w:eastAsia="zh-CN"/>
              </w:rPr>
              <w:t>检测报告</w:t>
            </w:r>
          </w:p>
          <w:p>
            <w:pPr>
              <w:pStyle w:val="30"/>
              <w:rPr>
                <w:rFonts w:hint="default"/>
                <w:color w:val="auto"/>
                <w:highlight w:val="none"/>
              </w:rPr>
            </w:pPr>
          </w:p>
          <w:p>
            <w:pPr>
              <w:pStyle w:val="40"/>
              <w:ind w:left="480"/>
              <w:rPr>
                <w:rFonts w:hint="default" w:ascii="Times New Roman" w:hAnsi="Times New Roman" w:cs="Times New Roman"/>
                <w:color w:val="auto"/>
                <w:highlight w:val="none"/>
              </w:rPr>
            </w:pPr>
          </w:p>
          <w:p>
            <w:pPr>
              <w:pStyle w:val="27"/>
              <w:spacing w:before="0" w:beforeAutospacing="0" w:after="0" w:afterAutospacing="0"/>
              <w:ind w:firstLine="480" w:firstLineChars="200"/>
              <w:rPr>
                <w:rFonts w:hint="default" w:ascii="Times New Roman" w:hAnsi="Times New Roman" w:cs="Times New Roman"/>
                <w:color w:val="auto"/>
                <w:szCs w:val="24"/>
                <w:highlight w:val="none"/>
              </w:rPr>
            </w:pPr>
          </w:p>
          <w:p>
            <w:pPr>
              <w:pStyle w:val="27"/>
              <w:spacing w:before="0" w:beforeAutospacing="0" w:after="0" w:afterAutospacing="0"/>
              <w:ind w:firstLine="480" w:firstLineChars="200"/>
              <w:rPr>
                <w:rFonts w:hint="default" w:ascii="Times New Roman" w:hAnsi="Times New Roman" w:cs="Times New Roman"/>
                <w:color w:val="auto"/>
                <w:szCs w:val="24"/>
                <w:highlight w:val="none"/>
              </w:rPr>
            </w:pPr>
          </w:p>
          <w:p>
            <w:pPr>
              <w:pStyle w:val="27"/>
              <w:spacing w:before="0" w:beforeAutospacing="0" w:after="0" w:afterAutospacing="0"/>
              <w:ind w:firstLine="480" w:firstLineChars="200"/>
              <w:rPr>
                <w:rFonts w:hint="default" w:ascii="Times New Roman" w:hAnsi="Times New Roman" w:cs="Times New Roman"/>
                <w:color w:val="auto"/>
                <w:szCs w:val="24"/>
                <w:highlight w:val="none"/>
              </w:rPr>
            </w:pPr>
          </w:p>
          <w:p>
            <w:pPr>
              <w:pStyle w:val="27"/>
              <w:spacing w:before="0" w:beforeAutospacing="0" w:after="0" w:afterAutospacing="0"/>
              <w:ind w:firstLine="480" w:firstLineChars="200"/>
              <w:rPr>
                <w:rFonts w:hint="default" w:ascii="Times New Roman" w:hAnsi="Times New Roman" w:cs="Times New Roman"/>
                <w:color w:val="auto"/>
                <w:szCs w:val="24"/>
                <w:highlight w:val="none"/>
              </w:rPr>
            </w:pPr>
          </w:p>
          <w:p>
            <w:pPr>
              <w:pStyle w:val="27"/>
              <w:spacing w:before="0" w:beforeAutospacing="0" w:after="0" w:afterAutospacing="0"/>
              <w:ind w:firstLine="480" w:firstLineChars="200"/>
              <w:rPr>
                <w:rFonts w:hint="default" w:ascii="Times New Roman" w:hAnsi="Times New Roman" w:cs="Times New Roman"/>
                <w:color w:val="auto"/>
                <w:szCs w:val="24"/>
                <w:highlight w:val="none"/>
              </w:rPr>
            </w:pPr>
          </w:p>
          <w:p>
            <w:pPr>
              <w:pStyle w:val="27"/>
              <w:spacing w:before="0" w:beforeAutospacing="0" w:after="0" w:afterAutospacing="0"/>
              <w:ind w:firstLine="480" w:firstLineChars="200"/>
              <w:rPr>
                <w:rFonts w:hint="default" w:ascii="Times New Roman" w:hAnsi="Times New Roman" w:cs="Times New Roman"/>
                <w:color w:val="auto"/>
                <w:szCs w:val="24"/>
                <w:highlight w:val="none"/>
              </w:rPr>
            </w:pPr>
          </w:p>
          <w:p>
            <w:pPr>
              <w:pStyle w:val="27"/>
              <w:spacing w:before="0" w:beforeAutospacing="0" w:after="0" w:afterAutospacing="0"/>
              <w:ind w:firstLine="480" w:firstLineChars="200"/>
              <w:rPr>
                <w:rFonts w:hint="default" w:ascii="Times New Roman" w:hAnsi="Times New Roman" w:cs="Times New Roman"/>
                <w:color w:val="auto"/>
                <w:szCs w:val="24"/>
                <w:highlight w:val="none"/>
              </w:rPr>
            </w:pPr>
          </w:p>
          <w:p>
            <w:pPr>
              <w:pStyle w:val="27"/>
              <w:spacing w:before="0" w:beforeAutospacing="0" w:after="0" w:afterAutospacing="0"/>
              <w:ind w:firstLine="480" w:firstLineChars="200"/>
              <w:rPr>
                <w:rFonts w:hint="default" w:ascii="Times New Roman" w:hAnsi="Times New Roman" w:cs="Times New Roman"/>
                <w:color w:val="auto"/>
                <w:szCs w:val="24"/>
                <w:highlight w:val="none"/>
              </w:rPr>
            </w:pPr>
          </w:p>
          <w:p>
            <w:pPr>
              <w:pStyle w:val="27"/>
              <w:spacing w:before="0" w:beforeAutospacing="0" w:after="0" w:afterAutospacing="0"/>
              <w:ind w:firstLine="480" w:firstLineChars="200"/>
              <w:rPr>
                <w:rFonts w:hint="default" w:ascii="Times New Roman" w:hAnsi="Times New Roman" w:cs="Times New Roman"/>
                <w:color w:val="auto"/>
                <w:szCs w:val="24"/>
                <w:highlight w:val="none"/>
              </w:rPr>
            </w:pPr>
          </w:p>
          <w:p>
            <w:pPr>
              <w:pStyle w:val="27"/>
              <w:spacing w:before="0" w:beforeAutospacing="0" w:after="0" w:afterAutospacing="0"/>
              <w:rPr>
                <w:rFonts w:hint="default" w:ascii="Times New Roman" w:hAnsi="Times New Roman" w:cs="Times New Roman"/>
                <w:color w:val="auto"/>
                <w:szCs w:val="24"/>
                <w:highlight w:val="none"/>
              </w:rPr>
            </w:pPr>
          </w:p>
          <w:p>
            <w:pPr>
              <w:pStyle w:val="27"/>
              <w:spacing w:before="0" w:beforeAutospacing="0" w:after="0" w:afterAutospacing="0"/>
              <w:ind w:left="0" w:leftChars="0" w:firstLine="0" w:firstLineChars="0"/>
              <w:rPr>
                <w:rFonts w:hint="default" w:ascii="Times New Roman" w:hAnsi="Times New Roman" w:cs="Times New Roman"/>
                <w:color w:val="auto"/>
                <w:szCs w:val="24"/>
                <w:highlight w:val="none"/>
              </w:rPr>
            </w:pPr>
          </w:p>
          <w:p>
            <w:pPr>
              <w:pStyle w:val="5"/>
              <w:rPr>
                <w:rFonts w:hint="default" w:ascii="Times New Roman" w:hAnsi="Times New Roman" w:cs="Times New Roman"/>
                <w:color w:val="auto"/>
                <w:highlight w:val="none"/>
              </w:rPr>
            </w:pPr>
          </w:p>
        </w:tc>
      </w:tr>
    </w:tbl>
    <w:p>
      <w:pPr>
        <w:pStyle w:val="2"/>
        <w:rPr>
          <w:rFonts w:hint="default"/>
          <w:lang w:val="en-US" w:eastAsia="zh-CN"/>
        </w:rPr>
        <w:sectPr>
          <w:pgSz w:w="11906" w:h="16838"/>
          <w:pgMar w:top="1701" w:right="1531" w:bottom="1701" w:left="1531" w:header="851" w:footer="851" w:gutter="0"/>
          <w:cols w:space="720" w:num="1"/>
          <w:docGrid w:linePitch="312" w:charSpace="0"/>
        </w:sectPr>
      </w:pPr>
    </w:p>
    <w:p>
      <w:pPr>
        <w:rPr>
          <w:rFonts w:hint="eastAsia" w:eastAsiaTheme="minorEastAsia"/>
          <w:lang w:eastAsia="zh-CN"/>
        </w:rPr>
        <w:sectPr>
          <w:footerReference r:id="rId7" w:type="default"/>
          <w:pgSz w:w="16838" w:h="11906" w:orient="landscape"/>
          <w:pgMar w:top="1134" w:right="1440" w:bottom="1134" w:left="1440" w:header="851" w:footer="992" w:gutter="0"/>
          <w:cols w:space="425" w:num="1"/>
          <w:docGrid w:type="lines" w:linePitch="312" w:charSpace="0"/>
        </w:sectPr>
      </w:pPr>
      <w:r>
        <w:rPr>
          <w:color w:val="auto"/>
        </w:rPr>
        <w:drawing>
          <wp:anchor distT="0" distB="0" distL="114300" distR="114300" simplePos="0" relativeHeight="251665408" behindDoc="0" locked="0" layoutInCell="1" allowOverlap="1">
            <wp:simplePos x="0" y="0"/>
            <wp:positionH relativeFrom="column">
              <wp:posOffset>7749540</wp:posOffset>
            </wp:positionH>
            <wp:positionV relativeFrom="paragraph">
              <wp:posOffset>248285</wp:posOffset>
            </wp:positionV>
            <wp:extent cx="1109980" cy="1228090"/>
            <wp:effectExtent l="0" t="0" r="13970" b="10160"/>
            <wp:wrapNone/>
            <wp:docPr id="19" name="图片 19" descr="微信图片_20210506164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微信图片_20210506164827"/>
                    <pic:cNvPicPr>
                      <a:picLocks noChangeAspect="1"/>
                    </pic:cNvPicPr>
                  </pic:nvPicPr>
                  <pic:blipFill>
                    <a:blip r:embed="rId112"/>
                    <a:stretch>
                      <a:fillRect/>
                    </a:stretch>
                  </pic:blipFill>
                  <pic:spPr>
                    <a:xfrm>
                      <a:off x="0" y="0"/>
                      <a:ext cx="1109980" cy="1228090"/>
                    </a:xfrm>
                    <a:prstGeom prst="rect">
                      <a:avLst/>
                    </a:prstGeom>
                  </pic:spPr>
                </pic:pic>
              </a:graphicData>
            </a:graphic>
          </wp:anchor>
        </w:drawing>
      </w:r>
      <w:r>
        <w:rPr>
          <w:rFonts w:hint="eastAsia" w:eastAsiaTheme="minorEastAsia"/>
          <w:lang w:eastAsia="zh-CN"/>
        </w:rPr>
        <w:drawing>
          <wp:inline distT="0" distB="0" distL="114300" distR="114300">
            <wp:extent cx="8802370" cy="6118860"/>
            <wp:effectExtent l="0" t="0" r="17780" b="15240"/>
            <wp:docPr id="5" name="图片 5" descr="附图一项目地理位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附图一项目地理位置图"/>
                    <pic:cNvPicPr>
                      <a:picLocks noChangeAspect="1"/>
                    </pic:cNvPicPr>
                  </pic:nvPicPr>
                  <pic:blipFill>
                    <a:blip r:embed="rId113"/>
                    <a:stretch>
                      <a:fillRect/>
                    </a:stretch>
                  </pic:blipFill>
                  <pic:spPr>
                    <a:xfrm>
                      <a:off x="0" y="0"/>
                      <a:ext cx="8802370" cy="6118860"/>
                    </a:xfrm>
                    <a:prstGeom prst="rect">
                      <a:avLst/>
                    </a:prstGeom>
                  </pic:spPr>
                </pic:pic>
              </a:graphicData>
            </a:graphic>
          </wp:inline>
        </w:drawing>
      </w:r>
    </w:p>
    <w:p>
      <w:pPr>
        <w:ind w:left="0" w:leftChars="0" w:firstLine="0" w:firstLineChars="0"/>
        <w:sectPr>
          <w:pgSz w:w="11906" w:h="16838"/>
          <w:pgMar w:top="1440" w:right="1134" w:bottom="1440" w:left="1134" w:header="851" w:footer="992" w:gutter="0"/>
          <w:cols w:space="425" w:num="1"/>
          <w:docGrid w:type="lines" w:linePitch="312" w:charSpace="0"/>
        </w:sectPr>
      </w:pPr>
      <w:r>
        <w:rPr>
          <w:sz w:val="21"/>
        </w:rPr>
        <mc:AlternateContent>
          <mc:Choice Requires="wps">
            <w:drawing>
              <wp:anchor distT="0" distB="0" distL="114300" distR="114300" simplePos="0" relativeHeight="251679744" behindDoc="0" locked="0" layoutInCell="1" allowOverlap="1">
                <wp:simplePos x="0" y="0"/>
                <wp:positionH relativeFrom="column">
                  <wp:posOffset>4882515</wp:posOffset>
                </wp:positionH>
                <wp:positionV relativeFrom="paragraph">
                  <wp:posOffset>786765</wp:posOffset>
                </wp:positionV>
                <wp:extent cx="1148080" cy="412750"/>
                <wp:effectExtent l="0" t="0" r="13970" b="6350"/>
                <wp:wrapNone/>
                <wp:docPr id="30" name="文本框 30"/>
                <wp:cNvGraphicFramePr/>
                <a:graphic xmlns:a="http://schemas.openxmlformats.org/drawingml/2006/main">
                  <a:graphicData uri="http://schemas.microsoft.com/office/word/2010/wordprocessingShape">
                    <wps:wsp>
                      <wps:cNvSpPr txBox="1"/>
                      <wps:spPr>
                        <a:xfrm>
                          <a:off x="0" y="0"/>
                          <a:ext cx="1148080" cy="4127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default" w:eastAsiaTheme="minorEastAsia"/>
                                <w:lang w:val="en-US" w:eastAsia="zh-CN"/>
                              </w:rPr>
                            </w:pPr>
                            <w:r>
                              <w:rPr>
                                <w:rFonts w:hint="eastAsia"/>
                                <w:lang w:val="en-US" w:eastAsia="zh-CN"/>
                              </w:rPr>
                              <w:t>比例尺 1:300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4.45pt;margin-top:61.95pt;height:32.5pt;width:90.4pt;z-index:251679744;mso-width-relative:page;mso-height-relative:page;" fillcolor="#FFFFFF [3201]" filled="t" stroked="f" coordsize="21600,21600" o:gfxdata="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O8nYw1gAAAAsBAAAPAAAA&#10;AAAAAAEAIAAAACIAAABkcnMvZG93bnJldi54bWxQSwECFAAUAAAACACHTuJAUZ/ewFACAACRBAAA&#10;DgAAAAAAAAABACAAAAAlAQAAZHJzL2Uyb0RvYy54bWxQSwUGAAAAAAYABgBZAQAA5wUAAAAA&#10;">
                <v:fill on="t" focussize="0,0"/>
                <v:stroke on="f" weight="0.5pt"/>
                <v:imagedata o:title=""/>
                <o:lock v:ext="edit" aspectratio="f"/>
                <v:textbox>
                  <w:txbxContent>
                    <w:p>
                      <w:pPr>
                        <w:ind w:left="0" w:leftChars="0" w:firstLine="0" w:firstLineChars="0"/>
                        <w:rPr>
                          <w:rFonts w:hint="default" w:eastAsiaTheme="minorEastAsia"/>
                          <w:lang w:val="en-US" w:eastAsia="zh-CN"/>
                        </w:rPr>
                      </w:pPr>
                      <w:r>
                        <w:rPr>
                          <w:rFonts w:hint="eastAsia"/>
                          <w:lang w:val="en-US" w:eastAsia="zh-CN"/>
                        </w:rPr>
                        <w:t>比例尺 1:300</w:t>
                      </w:r>
                    </w:p>
                  </w:txbxContent>
                </v:textbox>
              </v:shape>
            </w:pict>
          </mc:Fallback>
        </mc:AlternateContent>
      </w:r>
      <w:r>
        <w:rPr>
          <w:color w:val="auto"/>
        </w:rPr>
        <w:drawing>
          <wp:anchor distT="0" distB="0" distL="114300" distR="114300" simplePos="0" relativeHeight="251678720" behindDoc="0" locked="0" layoutInCell="1" allowOverlap="1">
            <wp:simplePos x="0" y="0"/>
            <wp:positionH relativeFrom="column">
              <wp:posOffset>5334000</wp:posOffset>
            </wp:positionH>
            <wp:positionV relativeFrom="paragraph">
              <wp:posOffset>81915</wp:posOffset>
            </wp:positionV>
            <wp:extent cx="595630" cy="659130"/>
            <wp:effectExtent l="0" t="0" r="13970" b="7620"/>
            <wp:wrapNone/>
            <wp:docPr id="31" name="图片 31" descr="微信图片_20210506164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微信图片_20210506164827"/>
                    <pic:cNvPicPr>
                      <a:picLocks noChangeAspect="1"/>
                    </pic:cNvPicPr>
                  </pic:nvPicPr>
                  <pic:blipFill>
                    <a:blip r:embed="rId112"/>
                    <a:stretch>
                      <a:fillRect/>
                    </a:stretch>
                  </pic:blipFill>
                  <pic:spPr>
                    <a:xfrm>
                      <a:off x="0" y="0"/>
                      <a:ext cx="595630" cy="659130"/>
                    </a:xfrm>
                    <a:prstGeom prst="rect">
                      <a:avLst/>
                    </a:prstGeom>
                  </pic:spPr>
                </pic:pic>
              </a:graphicData>
            </a:graphic>
          </wp:anchor>
        </w:drawing>
      </w:r>
      <w:r>
        <w:rPr>
          <w:sz w:val="21"/>
        </w:rPr>
        <mc:AlternateContent>
          <mc:Choice Requires="wps">
            <w:drawing>
              <wp:anchor distT="0" distB="0" distL="114300" distR="114300" simplePos="0" relativeHeight="251666432" behindDoc="0" locked="0" layoutInCell="1" allowOverlap="1">
                <wp:simplePos x="0" y="0"/>
                <wp:positionH relativeFrom="column">
                  <wp:posOffset>-697230</wp:posOffset>
                </wp:positionH>
                <wp:positionV relativeFrom="paragraph">
                  <wp:posOffset>6061710</wp:posOffset>
                </wp:positionV>
                <wp:extent cx="7505700" cy="647700"/>
                <wp:effectExtent l="0" t="0" r="0" b="0"/>
                <wp:wrapNone/>
                <wp:docPr id="8" name="文本框 8"/>
                <wp:cNvGraphicFramePr/>
                <a:graphic xmlns:a="http://schemas.openxmlformats.org/drawingml/2006/main">
                  <a:graphicData uri="http://schemas.microsoft.com/office/word/2010/wordprocessingShape">
                    <wps:wsp>
                      <wps:cNvSpPr txBox="1"/>
                      <wps:spPr>
                        <a:xfrm>
                          <a:off x="22860" y="6976110"/>
                          <a:ext cx="7505700" cy="647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eastAsia="宋体" w:cs="Times New Roman"/>
                                <w:b/>
                                <w:bCs/>
                                <w:sz w:val="28"/>
                                <w:szCs w:val="28"/>
                                <w:lang w:val="en-US" w:eastAsia="zh-CN"/>
                              </w:rPr>
                            </w:pPr>
                            <w:r>
                              <w:rPr>
                                <w:rFonts w:hint="default" w:ascii="Times New Roman" w:hAnsi="Times New Roman" w:eastAsia="宋体" w:cs="Times New Roman"/>
                                <w:b/>
                                <w:bCs/>
                                <w:sz w:val="28"/>
                                <w:szCs w:val="28"/>
                                <w:lang w:val="en-US" w:eastAsia="zh-CN"/>
                              </w:rPr>
                              <w:t>附图2  平面布置图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4.9pt;margin-top:477.3pt;height:51pt;width:591pt;z-index:251666432;mso-width-relative:page;mso-height-relative:page;" fillcolor="#FFFFFF [3201]" filled="t" stroked="f" coordsize="21600,21600" o:gfxdata="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MAs/2vYAAAA&#10;DgEAAA8AAAAAAAAAAQAgAAAAIgAAAGRycy9kb3ducmV2LnhtbFBLAQIUABQAAAAIAIdO4kBJrael&#10;VgIAAJkEAAAOAAAAAAAAAAEAIAAAACcBAABkcnMvZTJvRG9jLnhtbFBLBQYAAAAABgAGAFkBAADv&#10;BQAAAAA=&#10;">
                <v:fill on="t" focussize="0,0"/>
                <v:stroke on="f" weight="0.5pt"/>
                <v:imagedata o:title=""/>
                <o:lock v:ext="edit" aspectratio="f"/>
                <v:textbox>
                  <w:txbxContent>
                    <w:p>
                      <w:pPr>
                        <w:jc w:val="center"/>
                        <w:rPr>
                          <w:rFonts w:hint="default" w:ascii="Times New Roman" w:hAnsi="Times New Roman" w:eastAsia="宋体" w:cs="Times New Roman"/>
                          <w:b/>
                          <w:bCs/>
                          <w:sz w:val="28"/>
                          <w:szCs w:val="28"/>
                          <w:lang w:val="en-US" w:eastAsia="zh-CN"/>
                        </w:rPr>
                      </w:pPr>
                      <w:r>
                        <w:rPr>
                          <w:rFonts w:hint="default" w:ascii="Times New Roman" w:hAnsi="Times New Roman" w:eastAsia="宋体" w:cs="Times New Roman"/>
                          <w:b/>
                          <w:bCs/>
                          <w:sz w:val="28"/>
                          <w:szCs w:val="28"/>
                          <w:lang w:val="en-US" w:eastAsia="zh-CN"/>
                        </w:rPr>
                        <w:t>附图2  平面布置图</w:t>
                      </w:r>
                    </w:p>
                  </w:txbxContent>
                </v:textbox>
              </v:shape>
            </w:pict>
          </mc:Fallback>
        </mc:AlternateContent>
      </w:r>
      <w:r>
        <w:drawing>
          <wp:inline distT="0" distB="0" distL="114300" distR="114300">
            <wp:extent cx="6118225" cy="5900420"/>
            <wp:effectExtent l="15875" t="15875" r="19050" b="2730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14"/>
                    <a:stretch>
                      <a:fillRect/>
                    </a:stretch>
                  </pic:blipFill>
                  <pic:spPr>
                    <a:xfrm>
                      <a:off x="0" y="0"/>
                      <a:ext cx="6118225" cy="5900420"/>
                    </a:xfrm>
                    <a:prstGeom prst="rect">
                      <a:avLst/>
                    </a:prstGeom>
                    <a:noFill/>
                    <a:ln w="15875">
                      <a:solidFill>
                        <a:schemeClr val="tx1"/>
                      </a:solidFill>
                    </a:ln>
                  </pic:spPr>
                </pic:pic>
              </a:graphicData>
            </a:graphic>
          </wp:inline>
        </w:drawing>
      </w:r>
    </w:p>
    <w:p>
      <w:pPr>
        <w:ind w:left="0" w:leftChars="0" w:firstLine="0" w:firstLineChars="0"/>
        <w:sectPr>
          <w:pgSz w:w="16838" w:h="11906" w:orient="landscape"/>
          <w:pgMar w:top="1134" w:right="1440" w:bottom="1134" w:left="1440" w:header="851" w:footer="992" w:gutter="0"/>
          <w:cols w:space="425" w:num="1"/>
          <w:docGrid w:type="lines" w:linePitch="312" w:charSpace="0"/>
        </w:sectPr>
      </w:pPr>
      <w:r>
        <w:rPr>
          <w:color w:val="auto"/>
        </w:rPr>
        <w:drawing>
          <wp:anchor distT="0" distB="0" distL="114300" distR="114300" simplePos="0" relativeHeight="251667456" behindDoc="0" locked="0" layoutInCell="1" allowOverlap="1">
            <wp:simplePos x="0" y="0"/>
            <wp:positionH relativeFrom="column">
              <wp:posOffset>22860</wp:posOffset>
            </wp:positionH>
            <wp:positionV relativeFrom="paragraph">
              <wp:posOffset>26670</wp:posOffset>
            </wp:positionV>
            <wp:extent cx="1109980" cy="1228090"/>
            <wp:effectExtent l="0" t="0" r="13970" b="10160"/>
            <wp:wrapNone/>
            <wp:docPr id="17" name="图片 17" descr="微信图片_20210506164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微信图片_20210506164827"/>
                    <pic:cNvPicPr>
                      <a:picLocks noChangeAspect="1"/>
                    </pic:cNvPicPr>
                  </pic:nvPicPr>
                  <pic:blipFill>
                    <a:blip r:embed="rId112"/>
                    <a:stretch>
                      <a:fillRect/>
                    </a:stretch>
                  </pic:blipFill>
                  <pic:spPr>
                    <a:xfrm>
                      <a:off x="0" y="0"/>
                      <a:ext cx="1109980" cy="1228090"/>
                    </a:xfrm>
                    <a:prstGeom prst="rect">
                      <a:avLst/>
                    </a:prstGeom>
                  </pic:spPr>
                </pic:pic>
              </a:graphicData>
            </a:graphic>
          </wp:anchor>
        </w:drawing>
      </w:r>
      <w:r>
        <w:rPr>
          <w:sz w:val="21"/>
        </w:rPr>
        <mc:AlternateContent>
          <mc:Choice Requires="wps">
            <w:drawing>
              <wp:anchor distT="0" distB="0" distL="114300" distR="114300" simplePos="0" relativeHeight="251672576" behindDoc="0" locked="0" layoutInCell="1" allowOverlap="1">
                <wp:simplePos x="0" y="0"/>
                <wp:positionH relativeFrom="column">
                  <wp:posOffset>-177165</wp:posOffset>
                </wp:positionH>
                <wp:positionV relativeFrom="paragraph">
                  <wp:posOffset>5655945</wp:posOffset>
                </wp:positionV>
                <wp:extent cx="9048750" cy="6477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9048750" cy="647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eastAsia="宋体" w:cs="Times New Roman"/>
                                <w:b/>
                                <w:bCs/>
                                <w:sz w:val="28"/>
                                <w:szCs w:val="28"/>
                                <w:lang w:val="en-US" w:eastAsia="zh-CN"/>
                              </w:rPr>
                            </w:pPr>
                            <w:r>
                              <w:rPr>
                                <w:rFonts w:hint="default" w:ascii="Times New Roman" w:hAnsi="Times New Roman" w:eastAsia="宋体" w:cs="Times New Roman"/>
                                <w:b/>
                                <w:bCs/>
                                <w:sz w:val="28"/>
                                <w:szCs w:val="28"/>
                                <w:lang w:val="en-US" w:eastAsia="zh-CN"/>
                              </w:rPr>
                              <w:t>附图</w:t>
                            </w:r>
                            <w:r>
                              <w:rPr>
                                <w:rFonts w:hint="eastAsia" w:ascii="Times New Roman" w:hAnsi="Times New Roman" w:eastAsia="宋体" w:cs="Times New Roman"/>
                                <w:b/>
                                <w:bCs/>
                                <w:sz w:val="28"/>
                                <w:szCs w:val="28"/>
                                <w:lang w:val="en-US" w:eastAsia="zh-CN"/>
                              </w:rPr>
                              <w:t>3 周边关系</w:t>
                            </w:r>
                            <w:r>
                              <w:rPr>
                                <w:rFonts w:hint="default" w:ascii="Times New Roman" w:hAnsi="Times New Roman" w:eastAsia="宋体" w:cs="Times New Roman"/>
                                <w:b/>
                                <w:bCs/>
                                <w:sz w:val="28"/>
                                <w:szCs w:val="28"/>
                                <w:lang w:val="en-US" w:eastAsia="zh-CN"/>
                              </w:rPr>
                              <w:t>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95pt;margin-top:445.35pt;height:51pt;width:712.5pt;z-index:251672576;mso-width-relative:page;mso-height-relative:page;" fillcolor="#FFFFFF [3201]" filled="t" stroked="f" coordsize="21600,21600" o:gfxdata="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OMCwb2AAAAAwBAAAPAAAA&#10;AAAAAAEAIAAAACIAAABkcnMvZG93bnJldi54bWxQSwECFAAUAAAACACHTuJAoo+ZMk4CAACRBAAA&#10;DgAAAAAAAAABACAAAAAnAQAAZHJzL2Uyb0RvYy54bWxQSwUGAAAAAAYABgBZAQAA5wUAAAAA&#10;">
                <v:fill on="t" focussize="0,0"/>
                <v:stroke on="f" weight="0.5pt"/>
                <v:imagedata o:title=""/>
                <o:lock v:ext="edit" aspectratio="f"/>
                <v:textbox>
                  <w:txbxContent>
                    <w:p>
                      <w:pPr>
                        <w:jc w:val="center"/>
                        <w:rPr>
                          <w:rFonts w:hint="default" w:ascii="Times New Roman" w:hAnsi="Times New Roman" w:eastAsia="宋体" w:cs="Times New Roman"/>
                          <w:b/>
                          <w:bCs/>
                          <w:sz w:val="28"/>
                          <w:szCs w:val="28"/>
                          <w:lang w:val="en-US" w:eastAsia="zh-CN"/>
                        </w:rPr>
                      </w:pPr>
                      <w:r>
                        <w:rPr>
                          <w:rFonts w:hint="default" w:ascii="Times New Roman" w:hAnsi="Times New Roman" w:eastAsia="宋体" w:cs="Times New Roman"/>
                          <w:b/>
                          <w:bCs/>
                          <w:sz w:val="28"/>
                          <w:szCs w:val="28"/>
                          <w:lang w:val="en-US" w:eastAsia="zh-CN"/>
                        </w:rPr>
                        <w:t>附图</w:t>
                      </w:r>
                      <w:r>
                        <w:rPr>
                          <w:rFonts w:hint="eastAsia" w:ascii="Times New Roman" w:hAnsi="Times New Roman" w:eastAsia="宋体" w:cs="Times New Roman"/>
                          <w:b/>
                          <w:bCs/>
                          <w:sz w:val="28"/>
                          <w:szCs w:val="28"/>
                          <w:lang w:val="en-US" w:eastAsia="zh-CN"/>
                        </w:rPr>
                        <w:t>3 周边关系</w:t>
                      </w:r>
                      <w:r>
                        <w:rPr>
                          <w:rFonts w:hint="default" w:ascii="Times New Roman" w:hAnsi="Times New Roman" w:eastAsia="宋体" w:cs="Times New Roman"/>
                          <w:b/>
                          <w:bCs/>
                          <w:sz w:val="28"/>
                          <w:szCs w:val="28"/>
                          <w:lang w:val="en-US" w:eastAsia="zh-CN"/>
                        </w:rPr>
                        <w:t>图</w:t>
                      </w:r>
                    </w:p>
                  </w:txbxContent>
                </v:textbox>
              </v:shape>
            </w:pict>
          </mc:Fallback>
        </mc:AlternateContent>
      </w:r>
      <w:r>
        <w:rPr>
          <w:sz w:val="21"/>
        </w:rPr>
        <mc:AlternateContent>
          <mc:Choice Requires="wps">
            <w:drawing>
              <wp:anchor distT="0" distB="0" distL="114300" distR="114300" simplePos="0" relativeHeight="251671552" behindDoc="0" locked="0" layoutInCell="1" allowOverlap="1">
                <wp:simplePos x="0" y="0"/>
                <wp:positionH relativeFrom="column">
                  <wp:posOffset>7646670</wp:posOffset>
                </wp:positionH>
                <wp:positionV relativeFrom="paragraph">
                  <wp:posOffset>4695825</wp:posOffset>
                </wp:positionV>
                <wp:extent cx="409575" cy="123825"/>
                <wp:effectExtent l="7620" t="7620" r="20955" b="20955"/>
                <wp:wrapNone/>
                <wp:docPr id="12" name="矩形 12"/>
                <wp:cNvGraphicFramePr/>
                <a:graphic xmlns:a="http://schemas.openxmlformats.org/drawingml/2006/main">
                  <a:graphicData uri="http://schemas.microsoft.com/office/word/2010/wordprocessingShape">
                    <wps:wsp>
                      <wps:cNvSpPr/>
                      <wps:spPr>
                        <a:xfrm>
                          <a:off x="0" y="0"/>
                          <a:ext cx="409575" cy="123825"/>
                        </a:xfrm>
                        <a:prstGeom prst="rect">
                          <a:avLst/>
                        </a:prstGeom>
                        <a:solidFill>
                          <a:srgbClr val="0070C0">
                            <a:alpha val="30000"/>
                          </a:srgbClr>
                        </a:solidFill>
                        <a:ln w="158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02.1pt;margin-top:369.75pt;height:9.75pt;width:32.25pt;z-index:251671552;v-text-anchor:middle;mso-width-relative:page;mso-height-relative:page;" fillcolor="#0070C0" filled="t" stroked="t" coordsize="21600,21600" o:gfxdata="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inoOdkAAAANAQAADwAAAAAAAAABACAAAAAiAAAAZHJzL2Rv&#10;d25yZXYueG1sUEsBAhQAFAAAAAgAh07iQNB2zNByAgAA/wQAAA4AAAAAAAAAAQAgAAAAKAEAAGRy&#10;cy9lMm9Eb2MueG1sUEsFBgAAAAAGAAYAWQEAAAwGAAAAAA==&#10;">
                <v:fill on="t" opacity="19660f" focussize="0,0"/>
                <v:stroke weight="1.25pt" color="#0070C0 [3204]" joinstyle="round"/>
                <v:imagedata o:title=""/>
                <o:lock v:ext="edit" aspectratio="f"/>
              </v:rect>
            </w:pict>
          </mc:Fallback>
        </mc:AlternateContent>
      </w:r>
      <w:r>
        <w:rPr>
          <w:sz w:val="21"/>
        </w:rPr>
        <mc:AlternateContent>
          <mc:Choice Requires="wps">
            <w:drawing>
              <wp:anchor distT="0" distB="0" distL="114300" distR="114300" simplePos="0" relativeHeight="251670528" behindDoc="0" locked="0" layoutInCell="1" allowOverlap="1">
                <wp:simplePos x="0" y="0"/>
                <wp:positionH relativeFrom="column">
                  <wp:posOffset>7637145</wp:posOffset>
                </wp:positionH>
                <wp:positionV relativeFrom="paragraph">
                  <wp:posOffset>4505325</wp:posOffset>
                </wp:positionV>
                <wp:extent cx="409575" cy="123825"/>
                <wp:effectExtent l="7620" t="7620" r="20955" b="20955"/>
                <wp:wrapNone/>
                <wp:docPr id="13" name="矩形 13"/>
                <wp:cNvGraphicFramePr/>
                <a:graphic xmlns:a="http://schemas.openxmlformats.org/drawingml/2006/main">
                  <a:graphicData uri="http://schemas.microsoft.com/office/word/2010/wordprocessingShape">
                    <wps:wsp>
                      <wps:cNvSpPr/>
                      <wps:spPr>
                        <a:xfrm>
                          <a:off x="0" y="0"/>
                          <a:ext cx="409575" cy="123825"/>
                        </a:xfrm>
                        <a:prstGeom prst="rect">
                          <a:avLst/>
                        </a:prstGeom>
                        <a:solidFill>
                          <a:srgbClr val="FFC000">
                            <a:alpha val="20000"/>
                          </a:srgbClr>
                        </a:solidFill>
                        <a:ln w="158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01.35pt;margin-top:354.75pt;height:9.75pt;width:32.25pt;z-index:251670528;v-text-anchor:middle;mso-width-relative:page;mso-height-relative:page;" fillcolor="#FFC000" filled="t" stroked="t" coordsize="21600,21600" o:gfxdata="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UCrOANoAAAANAQAADwAAAAAAAAABACAAAAAiAAAAZHJz&#10;L2Rvd25yZXYueG1sUEsBAhQAFAAAAAgAh07iQGFqpKp0AgAA/wQAAA4AAAAAAAAAAQAgAAAAKQEA&#10;AGRycy9lMm9Eb2MueG1sUEsFBgAAAAAGAAYAWQEAAA8GAAAAAA==&#10;">
                <v:fill on="t" opacity="13107f" focussize="0,0"/>
                <v:stroke weight="1.25pt" color="#FFFF00 [3204]" joinstyle="round"/>
                <v:imagedata o:title=""/>
                <o:lock v:ext="edit" aspectratio="f"/>
              </v:rect>
            </w:pict>
          </mc:Fallback>
        </mc:AlternateContent>
      </w:r>
      <w:r>
        <w:rPr>
          <w:sz w:val="21"/>
        </w:rPr>
        <mc:AlternateContent>
          <mc:Choice Requires="wps">
            <w:drawing>
              <wp:anchor distT="0" distB="0" distL="114300" distR="114300" simplePos="0" relativeHeight="251669504" behindDoc="0" locked="0" layoutInCell="1" allowOverlap="1">
                <wp:simplePos x="0" y="0"/>
                <wp:positionH relativeFrom="column">
                  <wp:posOffset>7627620</wp:posOffset>
                </wp:positionH>
                <wp:positionV relativeFrom="paragraph">
                  <wp:posOffset>4295775</wp:posOffset>
                </wp:positionV>
                <wp:extent cx="409575" cy="123825"/>
                <wp:effectExtent l="7620" t="7620" r="20955" b="20955"/>
                <wp:wrapNone/>
                <wp:docPr id="14" name="矩形 14"/>
                <wp:cNvGraphicFramePr/>
                <a:graphic xmlns:a="http://schemas.openxmlformats.org/drawingml/2006/main">
                  <a:graphicData uri="http://schemas.microsoft.com/office/word/2010/wordprocessingShape">
                    <wps:wsp>
                      <wps:cNvSpPr/>
                      <wps:spPr>
                        <a:xfrm>
                          <a:off x="8542020" y="5034915"/>
                          <a:ext cx="409575" cy="123825"/>
                        </a:xfrm>
                        <a:prstGeom prst="rect">
                          <a:avLst/>
                        </a:prstGeom>
                        <a:noFill/>
                        <a:ln w="158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00.6pt;margin-top:338.25pt;height:9.75pt;width:32.25pt;z-index:251669504;v-text-anchor:middle;mso-width-relative:page;mso-height-relative:page;" filled="f" stroked="t" coordsize="21600,21600" o:gfxdata="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azTClt0AAAANAQAADwAAAAAAAAABACAAAAAiAAAAZHJzL2Rvd25y&#10;ZXYueG1sUEsBAhQAFAAAAAgAh07iQEz3TJFrAgAAwQQAAA4AAAAAAAAAAQAgAAAALAEAAGRycy9l&#10;Mm9Eb2MueG1sUEsFBgAAAAAGAAYAWQEAAAkGAAAAAA==&#10;">
                <v:fill on="f" focussize="0,0"/>
                <v:stroke weight="1.25pt" color="#FF0000 [3204]" joinstyle="round"/>
                <v:imagedata o:title=""/>
                <o:lock v:ext="edit" aspectratio="f"/>
              </v:rect>
            </w:pict>
          </mc:Fallback>
        </mc:AlternateContent>
      </w:r>
      <w:r>
        <w:rPr>
          <w:sz w:val="21"/>
        </w:rPr>
        <mc:AlternateContent>
          <mc:Choice Requires="wps">
            <w:drawing>
              <wp:anchor distT="0" distB="0" distL="114300" distR="114300" simplePos="0" relativeHeight="251668480" behindDoc="0" locked="0" layoutInCell="1" allowOverlap="1">
                <wp:simplePos x="0" y="0"/>
                <wp:positionH relativeFrom="column">
                  <wp:posOffset>7589520</wp:posOffset>
                </wp:positionH>
                <wp:positionV relativeFrom="paragraph">
                  <wp:posOffset>4009390</wp:posOffset>
                </wp:positionV>
                <wp:extent cx="1209675" cy="915035"/>
                <wp:effectExtent l="4445" t="4445" r="5080" b="13970"/>
                <wp:wrapNone/>
                <wp:docPr id="16" name="文本框 16"/>
                <wp:cNvGraphicFramePr/>
                <a:graphic xmlns:a="http://schemas.openxmlformats.org/drawingml/2006/main">
                  <a:graphicData uri="http://schemas.microsoft.com/office/word/2010/wordprocessingShape">
                    <wps:wsp>
                      <wps:cNvSpPr txBox="1"/>
                      <wps:spPr>
                        <a:xfrm>
                          <a:off x="7494270" y="4015740"/>
                          <a:ext cx="1209675" cy="9150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图例</w:t>
                            </w:r>
                          </w:p>
                          <w:p>
                            <w:pPr>
                              <w:rPr>
                                <w:rFonts w:hint="eastAsia"/>
                                <w:lang w:val="en-US" w:eastAsia="zh-CN"/>
                              </w:rPr>
                            </w:pPr>
                            <w:r>
                              <w:rPr>
                                <w:rFonts w:hint="eastAsia"/>
                                <w:lang w:val="en-US" w:eastAsia="zh-CN"/>
                              </w:rPr>
                              <w:t xml:space="preserve">      本项目</w:t>
                            </w:r>
                          </w:p>
                          <w:p>
                            <w:pPr>
                              <w:rPr>
                                <w:rFonts w:hint="eastAsia"/>
                                <w:lang w:val="en-US" w:eastAsia="zh-CN"/>
                              </w:rPr>
                            </w:pPr>
                            <w:r>
                              <w:rPr>
                                <w:rFonts w:hint="eastAsia"/>
                                <w:lang w:val="en-US" w:eastAsia="zh-CN"/>
                              </w:rPr>
                              <w:t xml:space="preserve">      敏感点</w:t>
                            </w:r>
                          </w:p>
                          <w:p>
                            <w:pPr>
                              <w:rPr>
                                <w:rFonts w:hint="default"/>
                                <w:lang w:val="en-US" w:eastAsia="zh-CN"/>
                              </w:rPr>
                            </w:pPr>
                            <w:r>
                              <w:rPr>
                                <w:rFonts w:hint="eastAsia"/>
                                <w:lang w:val="en-US" w:eastAsia="zh-CN"/>
                              </w:rPr>
                              <w:t xml:space="preserve">      周边情况</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7.6pt;margin-top:315.7pt;height:72.05pt;width:95.25pt;z-index:251668480;mso-width-relative:page;mso-height-relative:page;" fillcolor="#FFFFFF [3201]" filled="t" stroked="t" coordsize="21600,21600" o:gfxdata="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FX+tS/ZAAAADQEAAA8AAAAAAAAAAQAgAAAAIgAAAGRycy9kb3ducmV2LnhtbFBLAQIU&#10;ABQAAAAIAIdO4kAfJ+zTZAIAAMUEAAAOAAAAAAAAAAEAIAAAACgBAABkcnMvZTJvRG9jLnhtbFBL&#10;BQYAAAAABgAGAFkBAAD+BQAAAAA=&#10;">
                <v:fill on="t" focussize="0,0"/>
                <v:stroke weight="0.5pt" color="#000000 [3204]" joinstyle="round"/>
                <v:imagedata o:title=""/>
                <o:lock v:ext="edit" aspectratio="f"/>
                <v:textbox>
                  <w:txbxContent>
                    <w:p>
                      <w:pPr>
                        <w:rPr>
                          <w:rFonts w:hint="eastAsia"/>
                          <w:lang w:val="en-US" w:eastAsia="zh-CN"/>
                        </w:rPr>
                      </w:pPr>
                      <w:r>
                        <w:rPr>
                          <w:rFonts w:hint="eastAsia"/>
                          <w:lang w:val="en-US" w:eastAsia="zh-CN"/>
                        </w:rPr>
                        <w:t>图例</w:t>
                      </w:r>
                    </w:p>
                    <w:p>
                      <w:pPr>
                        <w:rPr>
                          <w:rFonts w:hint="eastAsia"/>
                          <w:lang w:val="en-US" w:eastAsia="zh-CN"/>
                        </w:rPr>
                      </w:pPr>
                      <w:r>
                        <w:rPr>
                          <w:rFonts w:hint="eastAsia"/>
                          <w:lang w:val="en-US" w:eastAsia="zh-CN"/>
                        </w:rPr>
                        <w:t xml:space="preserve">      本项目</w:t>
                      </w:r>
                    </w:p>
                    <w:p>
                      <w:pPr>
                        <w:rPr>
                          <w:rFonts w:hint="eastAsia"/>
                          <w:lang w:val="en-US" w:eastAsia="zh-CN"/>
                        </w:rPr>
                      </w:pPr>
                      <w:r>
                        <w:rPr>
                          <w:rFonts w:hint="eastAsia"/>
                          <w:lang w:val="en-US" w:eastAsia="zh-CN"/>
                        </w:rPr>
                        <w:t xml:space="preserve">      敏感点</w:t>
                      </w:r>
                    </w:p>
                    <w:p>
                      <w:pPr>
                        <w:rPr>
                          <w:rFonts w:hint="default"/>
                          <w:lang w:val="en-US" w:eastAsia="zh-CN"/>
                        </w:rPr>
                      </w:pPr>
                      <w:r>
                        <w:rPr>
                          <w:rFonts w:hint="eastAsia"/>
                          <w:lang w:val="en-US" w:eastAsia="zh-CN"/>
                        </w:rPr>
                        <w:t xml:space="preserve">      周边情况</w:t>
                      </w:r>
                    </w:p>
                  </w:txbxContent>
                </v:textbox>
              </v:shape>
            </w:pict>
          </mc:Fallback>
        </mc:AlternateContent>
      </w:r>
      <w:r>
        <w:drawing>
          <wp:inline distT="0" distB="0" distL="114300" distR="114300">
            <wp:extent cx="8861425" cy="5448935"/>
            <wp:effectExtent l="28575" t="28575" r="44450" b="4699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15"/>
                    <a:stretch>
                      <a:fillRect/>
                    </a:stretch>
                  </pic:blipFill>
                  <pic:spPr>
                    <a:xfrm>
                      <a:off x="0" y="0"/>
                      <a:ext cx="8861425" cy="5448935"/>
                    </a:xfrm>
                    <a:prstGeom prst="rect">
                      <a:avLst/>
                    </a:prstGeom>
                    <a:noFill/>
                    <a:ln w="28575" cmpd="sng">
                      <a:solidFill>
                        <a:schemeClr val="tx1"/>
                      </a:solidFill>
                      <a:prstDash val="solid"/>
                    </a:ln>
                  </pic:spPr>
                </pic:pic>
              </a:graphicData>
            </a:graphic>
          </wp:inline>
        </w:drawing>
      </w:r>
    </w:p>
    <w:p>
      <w:pPr>
        <w:ind w:left="0" w:leftChars="0" w:firstLine="0" w:firstLineChars="0"/>
      </w:pPr>
      <w:r>
        <w:rPr>
          <w:sz w:val="21"/>
        </w:rPr>
        <mc:AlternateContent>
          <mc:Choice Requires="wps">
            <w:drawing>
              <wp:anchor distT="0" distB="0" distL="114300" distR="114300" simplePos="0" relativeHeight="251677696" behindDoc="0" locked="0" layoutInCell="1" allowOverlap="1">
                <wp:simplePos x="0" y="0"/>
                <wp:positionH relativeFrom="column">
                  <wp:posOffset>647700</wp:posOffset>
                </wp:positionH>
                <wp:positionV relativeFrom="paragraph">
                  <wp:posOffset>4964430</wp:posOffset>
                </wp:positionV>
                <wp:extent cx="409575" cy="123825"/>
                <wp:effectExtent l="7620" t="7620" r="20955" b="20955"/>
                <wp:wrapNone/>
                <wp:docPr id="24" name="矩形 24"/>
                <wp:cNvGraphicFramePr/>
                <a:graphic xmlns:a="http://schemas.openxmlformats.org/drawingml/2006/main">
                  <a:graphicData uri="http://schemas.microsoft.com/office/word/2010/wordprocessingShape">
                    <wps:wsp>
                      <wps:cNvSpPr/>
                      <wps:spPr>
                        <a:xfrm>
                          <a:off x="0" y="0"/>
                          <a:ext cx="409575" cy="123825"/>
                        </a:xfrm>
                        <a:prstGeom prst="rect">
                          <a:avLst/>
                        </a:prstGeom>
                        <a:solidFill>
                          <a:srgbClr val="FF0000">
                            <a:alpha val="69000"/>
                          </a:srgbClr>
                        </a:solidFill>
                        <a:ln w="158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1pt;margin-top:390.9pt;height:9.75pt;width:32.25pt;z-index:251677696;v-text-anchor:middle;mso-width-relative:page;mso-height-relative:page;" fillcolor="#FF0000" filled="t" stroked="t" coordsize="21600,21600" o:gfxdata="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ai4E/9gAAAALAQAADwAAAAAAAAABACAAAAAiAAAAZHJzL2Rv&#10;d25yZXYueG1sUEsBAhQAFAAAAAgAh07iQIWZDJlzAgAA/wQAAA4AAAAAAAAAAQAgAAAAJwEAAGRy&#10;cy9lMm9Eb2MueG1sUEsFBgAAAAAGAAYAWQEAAAwGAAAAAA==&#10;">
                <v:fill on="t" opacity="45219f" focussize="0,0"/>
                <v:stroke weight="1.25pt" color="#000000 [3213]" joinstyle="round"/>
                <v:imagedata o:title=""/>
                <o:lock v:ext="edit" aspectratio="f"/>
              </v:rect>
            </w:pict>
          </mc:Fallback>
        </mc:AlternateContent>
      </w:r>
      <w:r>
        <w:rPr>
          <w:sz w:val="21"/>
        </w:rPr>
        <mc:AlternateContent>
          <mc:Choice Requires="wps">
            <w:drawing>
              <wp:anchor distT="0" distB="0" distL="114300" distR="114300" simplePos="0" relativeHeight="251676672" behindDoc="0" locked="0" layoutInCell="1" allowOverlap="1">
                <wp:simplePos x="0" y="0"/>
                <wp:positionH relativeFrom="column">
                  <wp:posOffset>647700</wp:posOffset>
                </wp:positionH>
                <wp:positionV relativeFrom="paragraph">
                  <wp:posOffset>4774565</wp:posOffset>
                </wp:positionV>
                <wp:extent cx="409575" cy="123825"/>
                <wp:effectExtent l="7620" t="7620" r="20955" b="20955"/>
                <wp:wrapNone/>
                <wp:docPr id="23" name="矩形 23"/>
                <wp:cNvGraphicFramePr/>
                <a:graphic xmlns:a="http://schemas.openxmlformats.org/drawingml/2006/main">
                  <a:graphicData uri="http://schemas.microsoft.com/office/word/2010/wordprocessingShape">
                    <wps:wsp>
                      <wps:cNvSpPr/>
                      <wps:spPr>
                        <a:xfrm>
                          <a:off x="0" y="0"/>
                          <a:ext cx="409575" cy="123825"/>
                        </a:xfrm>
                        <a:prstGeom prst="rect">
                          <a:avLst/>
                        </a:prstGeom>
                        <a:solidFill>
                          <a:srgbClr val="FFFF00">
                            <a:alpha val="17000"/>
                          </a:srgbClr>
                        </a:solidFill>
                        <a:ln w="158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1pt;margin-top:375.95pt;height:9.75pt;width:32.25pt;z-index:251676672;v-text-anchor:middle;mso-width-relative:page;mso-height-relative:page;" fillcolor="#FFFF00" filled="t" stroked="t" coordsize="21600,21600" o:gfxdata="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2EB5otoAAAALAQAADwAAAAAAAAABACAAAAAiAAAAZHJz&#10;L2Rvd25yZXYueG1sUEsBAhQAFAAAAAgAh07iQM30YoN0AgAA/wQAAA4AAAAAAAAAAQAgAAAAKQEA&#10;AGRycy9lMm9Eb2MueG1sUEsFBgAAAAAGAAYAWQEAAA8GAAAAAA==&#10;">
                <v:fill on="t" opacity="11141f" focussize="0,0"/>
                <v:stroke weight="1.25pt" color="#000000 [3213]" joinstyle="round"/>
                <v:imagedata o:title=""/>
                <o:lock v:ext="edit" aspectratio="f"/>
              </v:rect>
            </w:pict>
          </mc:Fallback>
        </mc:AlternateContent>
      </w:r>
      <w:r>
        <w:rPr>
          <w:sz w:val="21"/>
        </w:rPr>
        <mc:AlternateContent>
          <mc:Choice Requires="wps">
            <w:drawing>
              <wp:anchor distT="0" distB="0" distL="114300" distR="114300" simplePos="0" relativeHeight="251675648" behindDoc="0" locked="0" layoutInCell="1" allowOverlap="1">
                <wp:simplePos x="0" y="0"/>
                <wp:positionH relativeFrom="column">
                  <wp:posOffset>638175</wp:posOffset>
                </wp:positionH>
                <wp:positionV relativeFrom="paragraph">
                  <wp:posOffset>4545965</wp:posOffset>
                </wp:positionV>
                <wp:extent cx="409575" cy="123825"/>
                <wp:effectExtent l="7620" t="7620" r="20955" b="20955"/>
                <wp:wrapNone/>
                <wp:docPr id="22" name="矩形 22"/>
                <wp:cNvGraphicFramePr/>
                <a:graphic xmlns:a="http://schemas.openxmlformats.org/drawingml/2006/main">
                  <a:graphicData uri="http://schemas.microsoft.com/office/word/2010/wordprocessingShape">
                    <wps:wsp>
                      <wps:cNvSpPr/>
                      <wps:spPr>
                        <a:xfrm>
                          <a:off x="0" y="0"/>
                          <a:ext cx="409575" cy="123825"/>
                        </a:xfrm>
                        <a:prstGeom prst="rect">
                          <a:avLst/>
                        </a:prstGeom>
                        <a:noFill/>
                        <a:ln w="158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0.25pt;margin-top:357.95pt;height:9.75pt;width:32.25pt;z-index:251675648;v-text-anchor:middle;mso-width-relative:page;mso-height-relative:page;" filled="f" stroked="t" coordsize="21600,21600" o:gfxdata="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vn8jP&#10;1wAAAAsBAAAPAAAAAAAAAAEAIAAAACIAAABkcnMvZG93bnJldi54bWxQSwECFAAUAAAACACHTuJA&#10;T75ukVsCAAC1BAAADgAAAAAAAAABACAAAAAmAQAAZHJzL2Uyb0RvYy54bWxQSwUGAAAAAAYABgBZ&#10;AQAA8wUAAAAA&#10;">
                <v:fill on="f" focussize="0,0"/>
                <v:stroke weight="1.25pt" color="#000000 [3213]" joinstyle="round"/>
                <v:imagedata o:title=""/>
                <o:lock v:ext="edit" aspectratio="f"/>
              </v:rect>
            </w:pict>
          </mc:Fallback>
        </mc:AlternateContent>
      </w:r>
      <w:r>
        <w:rPr>
          <w:sz w:val="21"/>
        </w:rPr>
        <mc:AlternateContent>
          <mc:Choice Requires="wps">
            <w:drawing>
              <wp:anchor distT="0" distB="0" distL="114300" distR="114300" simplePos="0" relativeHeight="251674624" behindDoc="0" locked="0" layoutInCell="1" allowOverlap="1">
                <wp:simplePos x="0" y="0"/>
                <wp:positionH relativeFrom="column">
                  <wp:posOffset>590550</wp:posOffset>
                </wp:positionH>
                <wp:positionV relativeFrom="paragraph">
                  <wp:posOffset>4171950</wp:posOffset>
                </wp:positionV>
                <wp:extent cx="1272540" cy="1041400"/>
                <wp:effectExtent l="4445" t="4445" r="18415" b="20955"/>
                <wp:wrapNone/>
                <wp:docPr id="20" name="文本框 20"/>
                <wp:cNvGraphicFramePr/>
                <a:graphic xmlns:a="http://schemas.openxmlformats.org/drawingml/2006/main">
                  <a:graphicData uri="http://schemas.microsoft.com/office/word/2010/wordprocessingShape">
                    <wps:wsp>
                      <wps:cNvSpPr txBox="1"/>
                      <wps:spPr>
                        <a:xfrm>
                          <a:off x="0" y="0"/>
                          <a:ext cx="1272540" cy="10414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eastAsia"/>
                                <w:lang w:val="en-US" w:eastAsia="zh-CN"/>
                              </w:rPr>
                            </w:pPr>
                            <w:r>
                              <w:rPr>
                                <w:rFonts w:hint="eastAsia"/>
                                <w:lang w:val="en-US" w:eastAsia="zh-CN"/>
                              </w:rPr>
                              <w:t>图例</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 xml:space="preserve">  简单防渗</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 xml:space="preserve">  一般防渗</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lang w:val="en-US" w:eastAsia="zh-CN"/>
                              </w:rPr>
                            </w:pPr>
                            <w:r>
                              <w:rPr>
                                <w:rFonts w:hint="eastAsia"/>
                                <w:lang w:val="en-US" w:eastAsia="zh-CN"/>
                              </w:rPr>
                              <w:t xml:space="preserve">  重点防渗</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6.5pt;margin-top:328.5pt;height:82pt;width:100.2pt;z-index:251674624;mso-width-relative:page;mso-height-relative:page;" fillcolor="#FFFFFF [3201]" filled="t" stroked="t" coordsize="21600,21600" o:gfxdata="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GbGUrvY&#10;AAAACgEAAA8AAAAAAAAAAQAgAAAAIgAAAGRycy9kb3ducmV2LnhtbFBLAQIUABQAAAAIAIdO4kD0&#10;K+4oWQIAALoEAAAOAAAAAAAAAAEAIAAAACcBAABkcnMvZTJvRG9jLnhtbFBLBQYAAAAABgAGAFkB&#10;AADyBQAAAAA=&#10;">
                <v:fill on="t" focussize="0,0"/>
                <v:stroke weight="0.5pt" color="#000000 [3204]" joinstyle="round"/>
                <v:imagedata o:title=""/>
                <o:lock v:ext="edit" aspectratio="f"/>
                <v:textbox>
                  <w:txbxContent>
                    <w:p>
                      <w:pPr>
                        <w:ind w:left="0" w:leftChars="0" w:firstLine="0" w:firstLineChars="0"/>
                        <w:rPr>
                          <w:rFonts w:hint="eastAsia"/>
                          <w:lang w:val="en-US" w:eastAsia="zh-CN"/>
                        </w:rPr>
                      </w:pPr>
                      <w:r>
                        <w:rPr>
                          <w:rFonts w:hint="eastAsia"/>
                          <w:lang w:val="en-US" w:eastAsia="zh-CN"/>
                        </w:rPr>
                        <w:t>图例</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 xml:space="preserve">  简单防渗</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 xml:space="preserve">  一般防渗</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lang w:val="en-US" w:eastAsia="zh-CN"/>
                        </w:rPr>
                      </w:pPr>
                      <w:r>
                        <w:rPr>
                          <w:rFonts w:hint="eastAsia"/>
                          <w:lang w:val="en-US" w:eastAsia="zh-CN"/>
                        </w:rPr>
                        <w:t xml:space="preserve">  重点防渗</w:t>
                      </w:r>
                    </w:p>
                  </w:txbxContent>
                </v:textbox>
              </v:shape>
            </w:pict>
          </mc:Fallback>
        </mc:AlternateContent>
      </w:r>
      <w:r>
        <w:rPr>
          <w:sz w:val="21"/>
        </w:rPr>
        <mc:AlternateContent>
          <mc:Choice Requires="wps">
            <w:drawing>
              <wp:anchor distT="0" distB="0" distL="114300" distR="114300" simplePos="0" relativeHeight="251673600" behindDoc="0" locked="0" layoutInCell="1" allowOverlap="1">
                <wp:simplePos x="0" y="0"/>
                <wp:positionH relativeFrom="column">
                  <wp:posOffset>-744855</wp:posOffset>
                </wp:positionH>
                <wp:positionV relativeFrom="paragraph">
                  <wp:posOffset>6442710</wp:posOffset>
                </wp:positionV>
                <wp:extent cx="7505700" cy="6477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7505700" cy="647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eastAsia="宋体" w:cs="Times New Roman"/>
                                <w:b/>
                                <w:bCs/>
                                <w:sz w:val="28"/>
                                <w:szCs w:val="28"/>
                                <w:lang w:val="en-US" w:eastAsia="zh-CN"/>
                              </w:rPr>
                            </w:pPr>
                            <w:r>
                              <w:rPr>
                                <w:rFonts w:hint="default" w:ascii="Times New Roman" w:hAnsi="Times New Roman" w:eastAsia="宋体" w:cs="Times New Roman"/>
                                <w:b/>
                                <w:bCs/>
                                <w:sz w:val="28"/>
                                <w:szCs w:val="28"/>
                                <w:lang w:val="en-US" w:eastAsia="zh-CN"/>
                              </w:rPr>
                              <w:t>附图</w:t>
                            </w:r>
                            <w:r>
                              <w:rPr>
                                <w:rFonts w:hint="eastAsia" w:ascii="Times New Roman" w:hAnsi="Times New Roman" w:eastAsia="宋体" w:cs="Times New Roman"/>
                                <w:b/>
                                <w:bCs/>
                                <w:sz w:val="28"/>
                                <w:szCs w:val="28"/>
                                <w:lang w:val="en-US" w:eastAsia="zh-CN"/>
                              </w:rPr>
                              <w:t>4  分区防渗</w:t>
                            </w:r>
                            <w:r>
                              <w:rPr>
                                <w:rFonts w:hint="default" w:ascii="Times New Roman" w:hAnsi="Times New Roman" w:eastAsia="宋体" w:cs="Times New Roman"/>
                                <w:b/>
                                <w:bCs/>
                                <w:sz w:val="28"/>
                                <w:szCs w:val="28"/>
                                <w:lang w:val="en-US" w:eastAsia="zh-CN"/>
                              </w:rPr>
                              <w:t>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65pt;margin-top:507.3pt;height:51pt;width:591pt;z-index:251673600;mso-width-relative:page;mso-height-relative:page;" fillcolor="#FFFFFF [3201]" filled="t" stroked="f" coordsize="21600,21600" o:gfxdata="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mTQ8H2AAAAA8BAAAPAAAA&#10;AAAAAAEAIAAAACIAAABkcnMvZG93bnJldi54bWxQSwECFAAUAAAACACHTuJAYo9nvk4CAACRBAAA&#10;DgAAAAAAAAABACAAAAAnAQAAZHJzL2Uyb0RvYy54bWxQSwUGAAAAAAYABgBZAQAA5wUAAAAA&#10;">
                <v:fill on="t" focussize="0,0"/>
                <v:stroke on="f" weight="0.5pt"/>
                <v:imagedata o:title=""/>
                <o:lock v:ext="edit" aspectratio="f"/>
                <v:textbox>
                  <w:txbxContent>
                    <w:p>
                      <w:pPr>
                        <w:jc w:val="center"/>
                        <w:rPr>
                          <w:rFonts w:hint="default" w:ascii="Times New Roman" w:hAnsi="Times New Roman" w:eastAsia="宋体" w:cs="Times New Roman"/>
                          <w:b/>
                          <w:bCs/>
                          <w:sz w:val="28"/>
                          <w:szCs w:val="28"/>
                          <w:lang w:val="en-US" w:eastAsia="zh-CN"/>
                        </w:rPr>
                      </w:pPr>
                      <w:r>
                        <w:rPr>
                          <w:rFonts w:hint="default" w:ascii="Times New Roman" w:hAnsi="Times New Roman" w:eastAsia="宋体" w:cs="Times New Roman"/>
                          <w:b/>
                          <w:bCs/>
                          <w:sz w:val="28"/>
                          <w:szCs w:val="28"/>
                          <w:lang w:val="en-US" w:eastAsia="zh-CN"/>
                        </w:rPr>
                        <w:t>附图</w:t>
                      </w:r>
                      <w:r>
                        <w:rPr>
                          <w:rFonts w:hint="eastAsia" w:ascii="Times New Roman" w:hAnsi="Times New Roman" w:eastAsia="宋体" w:cs="Times New Roman"/>
                          <w:b/>
                          <w:bCs/>
                          <w:sz w:val="28"/>
                          <w:szCs w:val="28"/>
                          <w:lang w:val="en-US" w:eastAsia="zh-CN"/>
                        </w:rPr>
                        <w:t>4  分区防渗</w:t>
                      </w:r>
                      <w:r>
                        <w:rPr>
                          <w:rFonts w:hint="default" w:ascii="Times New Roman" w:hAnsi="Times New Roman" w:eastAsia="宋体" w:cs="Times New Roman"/>
                          <w:b/>
                          <w:bCs/>
                          <w:sz w:val="28"/>
                          <w:szCs w:val="28"/>
                          <w:lang w:val="en-US" w:eastAsia="zh-CN"/>
                        </w:rPr>
                        <w:t>图</w:t>
                      </w:r>
                    </w:p>
                  </w:txbxContent>
                </v:textbox>
              </v:shape>
            </w:pict>
          </mc:Fallback>
        </mc:AlternateContent>
      </w:r>
      <w:r>
        <w:drawing>
          <wp:inline distT="0" distB="0" distL="114300" distR="114300">
            <wp:extent cx="6120130" cy="5666105"/>
            <wp:effectExtent l="22225" t="22225" r="29845" b="2667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116"/>
                    <a:stretch>
                      <a:fillRect/>
                    </a:stretch>
                  </pic:blipFill>
                  <pic:spPr>
                    <a:xfrm>
                      <a:off x="0" y="0"/>
                      <a:ext cx="6120130" cy="5666105"/>
                    </a:xfrm>
                    <a:prstGeom prst="rect">
                      <a:avLst/>
                    </a:prstGeom>
                    <a:noFill/>
                    <a:ln w="22225">
                      <a:solidFill>
                        <a:schemeClr val="tx1"/>
                      </a:solidFill>
                    </a:ln>
                  </pic:spPr>
                </pic:pic>
              </a:graphicData>
            </a:graphic>
          </wp:inline>
        </w:drawing>
      </w:r>
    </w:p>
    <w:p>
      <w:r>
        <w:br w:type="page"/>
      </w:r>
    </w:p>
    <w:p>
      <w:pPr>
        <w:ind w:left="0" w:leftChars="0" w:firstLine="0" w:firstLineChars="0"/>
      </w:pPr>
      <w:r>
        <w:drawing>
          <wp:inline distT="0" distB="0" distL="114300" distR="114300">
            <wp:extent cx="6295390" cy="6369050"/>
            <wp:effectExtent l="15875" t="15875" r="32385" b="15875"/>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117"/>
                    <a:stretch>
                      <a:fillRect/>
                    </a:stretch>
                  </pic:blipFill>
                  <pic:spPr>
                    <a:xfrm>
                      <a:off x="0" y="0"/>
                      <a:ext cx="6295390" cy="6369050"/>
                    </a:xfrm>
                    <a:prstGeom prst="rect">
                      <a:avLst/>
                    </a:prstGeom>
                    <a:noFill/>
                    <a:ln w="15875">
                      <a:solidFill>
                        <a:schemeClr val="tx1"/>
                      </a:solidFill>
                    </a:ln>
                  </pic:spPr>
                </pic:pic>
              </a:graphicData>
            </a:graphic>
          </wp:inline>
        </w:drawing>
      </w:r>
      <w:r>
        <w:rPr>
          <w:sz w:val="21"/>
        </w:rPr>
        <mc:AlternateContent>
          <mc:Choice Requires="wps">
            <w:drawing>
              <wp:anchor distT="0" distB="0" distL="114300" distR="114300" simplePos="0" relativeHeight="251680768" behindDoc="0" locked="0" layoutInCell="1" allowOverlap="1">
                <wp:simplePos x="0" y="0"/>
                <wp:positionH relativeFrom="column">
                  <wp:posOffset>-644525</wp:posOffset>
                </wp:positionH>
                <wp:positionV relativeFrom="paragraph">
                  <wp:posOffset>6928485</wp:posOffset>
                </wp:positionV>
                <wp:extent cx="7505700" cy="6477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7505700" cy="647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pStyle w:val="27"/>
                              <w:spacing w:before="0" w:beforeAutospacing="0" w:after="0" w:afterAutospacing="0"/>
                              <w:jc w:val="center"/>
                              <w:rPr>
                                <w:rFonts w:hint="default" w:ascii="Times New Roman" w:hAnsi="Times New Roman" w:cs="Times New Roman"/>
                                <w:color w:val="0000FF"/>
                                <w:szCs w:val="24"/>
                                <w:highlight w:val="none"/>
                                <w:lang w:val="en-US" w:eastAsia="zh-CN"/>
                              </w:rPr>
                            </w:pPr>
                            <w:r>
                              <w:rPr>
                                <w:rFonts w:hint="eastAsia" w:ascii="Times New Roman" w:hAnsi="Times New Roman" w:eastAsia="宋体" w:cs="Times New Roman"/>
                                <w:b/>
                                <w:bCs/>
                                <w:sz w:val="28"/>
                                <w:szCs w:val="28"/>
                                <w:lang w:val="en-US" w:eastAsia="zh-CN"/>
                              </w:rPr>
                              <w:t>附图5  引用噪声监测点位图</w:t>
                            </w:r>
                          </w:p>
                          <w:p>
                            <w:pPr>
                              <w:jc w:val="center"/>
                              <w:rPr>
                                <w:rFonts w:hint="default" w:ascii="Times New Roman" w:hAnsi="Times New Roman" w:eastAsia="宋体" w:cs="Times New Roman"/>
                                <w:b/>
                                <w:bCs/>
                                <w:sz w:val="28"/>
                                <w:szCs w:val="28"/>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0.75pt;margin-top:545.55pt;height:51pt;width:591pt;z-index:251680768;mso-width-relative:page;mso-height-relative:page;" fillcolor="#FFFFFF [3201]" filled="t" stroked="f" coordsize="21600,21600" o:gfxdata="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cpkbTXAAAADwEAAA8AAAAA&#10;AAAAAQAgAAAAIgAAAGRycy9kb3ducmV2LnhtbFBLAQIUABQAAAAIAIdO4kCcAtwmTgIAAJEEAAAO&#10;AAAAAAAAAAEAIAAAACYBAABkcnMvZTJvRG9jLnhtbFBLBQYAAAAABgAGAFkBAADmBQAAAAA=&#10;">
                <v:fill on="t" focussize="0,0"/>
                <v:stroke on="f" weight="0.5pt"/>
                <v:imagedata o:title=""/>
                <o:lock v:ext="edit" aspectratio="f"/>
                <v:textbox>
                  <w:txbxContent>
                    <w:p>
                      <w:pPr>
                        <w:pStyle w:val="27"/>
                        <w:spacing w:before="0" w:beforeAutospacing="0" w:after="0" w:afterAutospacing="0"/>
                        <w:jc w:val="center"/>
                        <w:rPr>
                          <w:rFonts w:hint="default" w:ascii="Times New Roman" w:hAnsi="Times New Roman" w:cs="Times New Roman"/>
                          <w:color w:val="0000FF"/>
                          <w:szCs w:val="24"/>
                          <w:highlight w:val="none"/>
                          <w:lang w:val="en-US" w:eastAsia="zh-CN"/>
                        </w:rPr>
                      </w:pPr>
                      <w:r>
                        <w:rPr>
                          <w:rFonts w:hint="eastAsia" w:ascii="Times New Roman" w:hAnsi="Times New Roman" w:eastAsia="宋体" w:cs="Times New Roman"/>
                          <w:b/>
                          <w:bCs/>
                          <w:sz w:val="28"/>
                          <w:szCs w:val="28"/>
                          <w:lang w:val="en-US" w:eastAsia="zh-CN"/>
                        </w:rPr>
                        <w:t>附图5  引用噪声监测点位图</w:t>
                      </w:r>
                    </w:p>
                    <w:p>
                      <w:pPr>
                        <w:jc w:val="center"/>
                        <w:rPr>
                          <w:rFonts w:hint="default" w:ascii="Times New Roman" w:hAnsi="Times New Roman" w:eastAsia="宋体" w:cs="Times New Roman"/>
                          <w:b/>
                          <w:bCs/>
                          <w:sz w:val="28"/>
                          <w:szCs w:val="28"/>
                          <w:lang w:val="en-US" w:eastAsia="zh-CN"/>
                        </w:rPr>
                      </w:pPr>
                    </w:p>
                  </w:txbxContent>
                </v:textbox>
              </v:shape>
            </w:pict>
          </mc:Fallback>
        </mc:AlternateContent>
      </w:r>
    </w:p>
    <w:p>
      <w:pPr>
        <w:rPr>
          <w:rFonts w:hint="default"/>
          <w:lang w:val="en-US" w:eastAsia="zh-CN"/>
        </w:rPr>
      </w:pPr>
      <w:bookmarkStart w:id="2" w:name="_GoBack"/>
      <w:bookmarkEnd w:id="2"/>
      <w:r>
        <w:rPr>
          <w:rFonts w:hint="default"/>
          <w:lang w:val="en-US" w:eastAsia="zh-CN"/>
        </w:rPr>
        <w:br w:type="page"/>
      </w:r>
    </w:p>
    <w:p>
      <w:pPr>
        <w:pStyle w:val="5"/>
        <w:bidi w:val="0"/>
        <w:jc w:val="both"/>
        <w:rPr>
          <w:rFonts w:hint="default"/>
        </w:rPr>
      </w:pPr>
      <w:r>
        <w:rPr>
          <w:rFonts w:hint="default"/>
        </w:rPr>
        <w:t>附件1  营业执照</w:t>
      </w:r>
    </w:p>
    <w:p>
      <w:pPr>
        <w:ind w:left="0" w:leftChars="0" w:firstLine="0" w:firstLineChars="0"/>
        <w:rPr>
          <w:rFonts w:hint="eastAsia" w:eastAsia="宋体"/>
          <w:lang w:eastAsia="zh-CN"/>
        </w:rPr>
      </w:pPr>
      <w:r>
        <w:rPr>
          <w:rFonts w:hint="eastAsia" w:eastAsia="宋体"/>
          <w:lang w:eastAsia="zh-CN"/>
        </w:rPr>
        <w:drawing>
          <wp:inline distT="0" distB="0" distL="114300" distR="114300">
            <wp:extent cx="7961630" cy="6072505"/>
            <wp:effectExtent l="0" t="0" r="4445" b="1270"/>
            <wp:docPr id="1" name="图片 1" descr="附件1 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附件1 营业执照"/>
                    <pic:cNvPicPr>
                      <a:picLocks noChangeAspect="1"/>
                    </pic:cNvPicPr>
                  </pic:nvPicPr>
                  <pic:blipFill>
                    <a:blip r:embed="rId118"/>
                    <a:srcRect l="4856" t="4092" r="3719"/>
                    <a:stretch>
                      <a:fillRect/>
                    </a:stretch>
                  </pic:blipFill>
                  <pic:spPr>
                    <a:xfrm rot="16200000">
                      <a:off x="0" y="0"/>
                      <a:ext cx="7961630" cy="6072505"/>
                    </a:xfrm>
                    <a:prstGeom prst="rect">
                      <a:avLst/>
                    </a:prstGeom>
                  </pic:spPr>
                </pic:pic>
              </a:graphicData>
            </a:graphic>
          </wp:inline>
        </w:drawing>
      </w:r>
    </w:p>
    <w:p>
      <w:pPr>
        <w:rPr>
          <w:rFonts w:hint="default"/>
        </w:rPr>
      </w:pPr>
    </w:p>
    <w:p>
      <w:pPr>
        <w:rPr>
          <w:rFonts w:hint="default"/>
        </w:rPr>
      </w:pPr>
      <w:r>
        <w:rPr>
          <w:rFonts w:hint="default"/>
        </w:rPr>
        <w:br w:type="page"/>
      </w:r>
    </w:p>
    <w:p>
      <w:pPr>
        <w:pStyle w:val="5"/>
        <w:bidi w:val="0"/>
        <w:jc w:val="both"/>
        <w:rPr>
          <w:rFonts w:hint="eastAsia"/>
          <w:lang w:val="en-US" w:eastAsia="zh-CN"/>
        </w:rPr>
      </w:pPr>
      <w:r>
        <w:rPr>
          <w:rFonts w:hint="default"/>
        </w:rPr>
        <w:t xml:space="preserve">附件2  </w:t>
      </w:r>
      <w:r>
        <w:rPr>
          <w:rFonts w:hint="eastAsia"/>
          <w:lang w:val="en-US" w:eastAsia="zh-CN"/>
        </w:rPr>
        <w:t>土地证</w:t>
      </w:r>
    </w:p>
    <w:p>
      <w:pPr>
        <w:ind w:left="0" w:leftChars="0" w:firstLine="0" w:firstLineChars="0"/>
        <w:rPr>
          <w:rFonts w:hint="eastAsia"/>
          <w:lang w:eastAsia="zh-CN"/>
        </w:rPr>
      </w:pPr>
      <w:r>
        <w:rPr>
          <w:rFonts w:hint="eastAsia"/>
          <w:lang w:eastAsia="zh-CN"/>
        </w:rPr>
        <w:drawing>
          <wp:inline distT="0" distB="0" distL="114300" distR="114300">
            <wp:extent cx="7734300" cy="5700395"/>
            <wp:effectExtent l="0" t="0" r="14605" b="0"/>
            <wp:docPr id="29" name="图片 29" descr="附件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附件2.1"/>
                    <pic:cNvPicPr>
                      <a:picLocks noChangeAspect="1"/>
                    </pic:cNvPicPr>
                  </pic:nvPicPr>
                  <pic:blipFill>
                    <a:blip r:embed="rId119"/>
                    <a:srcRect l="7670" t="12731" r="20339" b="12212"/>
                    <a:stretch>
                      <a:fillRect/>
                    </a:stretch>
                  </pic:blipFill>
                  <pic:spPr>
                    <a:xfrm rot="16200000">
                      <a:off x="0" y="0"/>
                      <a:ext cx="7734300" cy="5700395"/>
                    </a:xfrm>
                    <a:prstGeom prst="rect">
                      <a:avLst/>
                    </a:prstGeom>
                  </pic:spPr>
                </pic:pic>
              </a:graphicData>
            </a:graphic>
          </wp:inline>
        </w:drawing>
      </w:r>
      <w:r>
        <w:drawing>
          <wp:inline distT="0" distB="0" distL="114300" distR="114300">
            <wp:extent cx="5529580" cy="7981315"/>
            <wp:effectExtent l="0" t="0" r="13970" b="635"/>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120"/>
                    <a:stretch>
                      <a:fillRect/>
                    </a:stretch>
                  </pic:blipFill>
                  <pic:spPr>
                    <a:xfrm>
                      <a:off x="0" y="0"/>
                      <a:ext cx="5529580" cy="7981315"/>
                    </a:xfrm>
                    <a:prstGeom prst="rect">
                      <a:avLst/>
                    </a:prstGeom>
                    <a:noFill/>
                    <a:ln>
                      <a:noFill/>
                    </a:ln>
                  </pic:spPr>
                </pic:pic>
              </a:graphicData>
            </a:graphic>
          </wp:inline>
        </w:drawing>
      </w:r>
      <w:r>
        <w:drawing>
          <wp:inline distT="0" distB="0" distL="114300" distR="114300">
            <wp:extent cx="5542915" cy="7817485"/>
            <wp:effectExtent l="0" t="0" r="635" b="12065"/>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121"/>
                    <a:stretch>
                      <a:fillRect/>
                    </a:stretch>
                  </pic:blipFill>
                  <pic:spPr>
                    <a:xfrm>
                      <a:off x="0" y="0"/>
                      <a:ext cx="5542915" cy="7817485"/>
                    </a:xfrm>
                    <a:prstGeom prst="rect">
                      <a:avLst/>
                    </a:prstGeom>
                    <a:noFill/>
                    <a:ln>
                      <a:noFill/>
                    </a:ln>
                  </pic:spPr>
                </pic:pic>
              </a:graphicData>
            </a:graphic>
          </wp:inline>
        </w:drawing>
      </w:r>
    </w:p>
    <w:p>
      <w:pPr>
        <w:rPr>
          <w:rFonts w:hint="default"/>
        </w:rPr>
      </w:pPr>
      <w:r>
        <w:rPr>
          <w:rFonts w:hint="default"/>
        </w:rPr>
        <w:br w:type="page"/>
      </w:r>
    </w:p>
    <w:p>
      <w:pPr>
        <w:pStyle w:val="5"/>
        <w:bidi w:val="0"/>
        <w:jc w:val="both"/>
        <w:rPr>
          <w:rFonts w:hint="default"/>
        </w:rPr>
      </w:pPr>
      <w:r>
        <w:rPr>
          <w:rFonts w:hint="default"/>
        </w:rPr>
        <w:t>附件</w:t>
      </w:r>
      <w:r>
        <w:rPr>
          <w:rFonts w:hint="eastAsia"/>
          <w:lang w:val="en-US" w:eastAsia="zh-CN"/>
        </w:rPr>
        <w:t>3</w:t>
      </w:r>
      <w:r>
        <w:rPr>
          <w:rFonts w:hint="default"/>
        </w:rPr>
        <w:t xml:space="preserve">  企业投资项目备案信息</w:t>
      </w:r>
    </w:p>
    <w:p>
      <w:pPr>
        <w:ind w:left="0" w:leftChars="0" w:firstLine="0" w:firstLineChars="0"/>
        <w:rPr>
          <w:rFonts w:hint="default"/>
        </w:rPr>
      </w:pPr>
      <w:r>
        <w:drawing>
          <wp:inline distT="0" distB="0" distL="114300" distR="114300">
            <wp:extent cx="4524375" cy="6991350"/>
            <wp:effectExtent l="0" t="0" r="9525" b="0"/>
            <wp:docPr id="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
                    <pic:cNvPicPr>
                      <a:picLocks noChangeAspect="1"/>
                    </pic:cNvPicPr>
                  </pic:nvPicPr>
                  <pic:blipFill>
                    <a:blip r:embed="rId122"/>
                    <a:stretch>
                      <a:fillRect/>
                    </a:stretch>
                  </pic:blipFill>
                  <pic:spPr>
                    <a:xfrm>
                      <a:off x="0" y="0"/>
                      <a:ext cx="4524375" cy="6991350"/>
                    </a:xfrm>
                    <a:prstGeom prst="rect">
                      <a:avLst/>
                    </a:prstGeom>
                    <a:noFill/>
                    <a:ln>
                      <a:noFill/>
                    </a:ln>
                  </pic:spPr>
                </pic:pic>
              </a:graphicData>
            </a:graphic>
          </wp:inline>
        </w:drawing>
      </w:r>
      <w:r>
        <w:drawing>
          <wp:inline distT="0" distB="0" distL="114300" distR="114300">
            <wp:extent cx="4552950" cy="5429250"/>
            <wp:effectExtent l="0" t="0" r="0" b="0"/>
            <wp:docPr id="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pic:cNvPicPr>
                      <a:picLocks noChangeAspect="1"/>
                    </pic:cNvPicPr>
                  </pic:nvPicPr>
                  <pic:blipFill>
                    <a:blip r:embed="rId123"/>
                    <a:stretch>
                      <a:fillRect/>
                    </a:stretch>
                  </pic:blipFill>
                  <pic:spPr>
                    <a:xfrm>
                      <a:off x="0" y="0"/>
                      <a:ext cx="4552950" cy="5429250"/>
                    </a:xfrm>
                    <a:prstGeom prst="rect">
                      <a:avLst/>
                    </a:prstGeom>
                    <a:noFill/>
                    <a:ln>
                      <a:noFill/>
                    </a:ln>
                  </pic:spPr>
                </pic:pic>
              </a:graphicData>
            </a:graphic>
          </wp:inline>
        </w:drawing>
      </w:r>
    </w:p>
    <w:p>
      <w:pPr>
        <w:rPr>
          <w:rFonts w:hint="default"/>
        </w:rPr>
      </w:pPr>
      <w:r>
        <w:rPr>
          <w:rFonts w:hint="default"/>
        </w:rPr>
        <w:br w:type="page"/>
      </w:r>
    </w:p>
    <w:p>
      <w:pPr>
        <w:pStyle w:val="5"/>
        <w:bidi w:val="0"/>
        <w:jc w:val="both"/>
        <w:rPr>
          <w:rFonts w:hint="eastAsia"/>
          <w:lang w:val="en-US" w:eastAsia="zh-CN"/>
        </w:rPr>
      </w:pPr>
      <w:r>
        <w:rPr>
          <w:rFonts w:hint="default"/>
        </w:rPr>
        <w:t>附件</w:t>
      </w:r>
      <w:r>
        <w:rPr>
          <w:rFonts w:hint="eastAsia"/>
          <w:lang w:val="en-US" w:eastAsia="zh-CN"/>
        </w:rPr>
        <w:t>4</w:t>
      </w:r>
      <w:r>
        <w:rPr>
          <w:rFonts w:hint="default"/>
        </w:rPr>
        <w:t xml:space="preserve">  </w:t>
      </w:r>
      <w:r>
        <w:rPr>
          <w:rFonts w:hint="eastAsia"/>
          <w:lang w:val="en-US" w:eastAsia="zh-CN"/>
        </w:rPr>
        <w:t>排污登记回执</w:t>
      </w:r>
    </w:p>
    <w:p>
      <w:pPr>
        <w:ind w:left="0" w:leftChars="0" w:firstLine="0" w:firstLineChars="0"/>
        <w:rPr>
          <w:rFonts w:hint="eastAsia"/>
          <w:lang w:val="en-US" w:eastAsia="zh-CN"/>
        </w:rPr>
      </w:pPr>
      <w:r>
        <w:drawing>
          <wp:inline distT="0" distB="0" distL="114300" distR="114300">
            <wp:extent cx="5446395" cy="8020050"/>
            <wp:effectExtent l="0" t="0" r="1905" b="0"/>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124"/>
                    <a:stretch>
                      <a:fillRect/>
                    </a:stretch>
                  </pic:blipFill>
                  <pic:spPr>
                    <a:xfrm>
                      <a:off x="0" y="0"/>
                      <a:ext cx="5446395" cy="8020050"/>
                    </a:xfrm>
                    <a:prstGeom prst="rect">
                      <a:avLst/>
                    </a:prstGeom>
                    <a:noFill/>
                    <a:ln>
                      <a:noFill/>
                    </a:ln>
                  </pic:spPr>
                </pic:pic>
              </a:graphicData>
            </a:graphic>
          </wp:inline>
        </w:drawing>
      </w:r>
    </w:p>
    <w:p>
      <w:pPr>
        <w:rPr>
          <w:rFonts w:hint="eastAsia"/>
          <w:lang w:val="en-US" w:eastAsia="zh-CN"/>
        </w:rPr>
      </w:pPr>
      <w:r>
        <w:rPr>
          <w:rFonts w:hint="eastAsia"/>
          <w:lang w:val="en-US" w:eastAsia="zh-CN"/>
        </w:rPr>
        <w:br w:type="page"/>
      </w:r>
    </w:p>
    <w:p>
      <w:pPr>
        <w:pStyle w:val="5"/>
        <w:bidi w:val="0"/>
        <w:jc w:val="both"/>
        <w:rPr>
          <w:rFonts w:hint="eastAsia"/>
          <w:lang w:val="en-US" w:eastAsia="zh-CN"/>
        </w:rPr>
      </w:pPr>
      <w:r>
        <w:rPr>
          <w:rFonts w:hint="eastAsia"/>
          <w:lang w:val="en-US" w:eastAsia="zh-CN"/>
        </w:rPr>
        <w:t>附件5  现有工程环评及验收手续</w:t>
      </w:r>
    </w:p>
    <w:p>
      <w:pPr>
        <w:ind w:left="0" w:leftChars="0" w:firstLine="0" w:firstLineChars="0"/>
        <w:rPr>
          <w:rFonts w:hint="eastAsia"/>
          <w:lang w:val="en-US" w:eastAsia="zh-CN"/>
        </w:rPr>
      </w:pPr>
      <w:r>
        <w:rPr>
          <w:rFonts w:hint="eastAsia"/>
          <w:lang w:val="en-US" w:eastAsia="zh-CN"/>
        </w:rPr>
        <w:drawing>
          <wp:inline distT="0" distB="0" distL="114300" distR="114300">
            <wp:extent cx="5381625" cy="6845935"/>
            <wp:effectExtent l="0" t="0" r="9525" b="12065"/>
            <wp:docPr id="38" name="图片 38" descr="附件5.1 审批批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附件5.1 审批批文"/>
                    <pic:cNvPicPr>
                      <a:picLocks noChangeAspect="1"/>
                    </pic:cNvPicPr>
                  </pic:nvPicPr>
                  <pic:blipFill>
                    <a:blip r:embed="rId125"/>
                    <a:srcRect t="3883" b="6275"/>
                    <a:stretch>
                      <a:fillRect/>
                    </a:stretch>
                  </pic:blipFill>
                  <pic:spPr>
                    <a:xfrm>
                      <a:off x="0" y="0"/>
                      <a:ext cx="5381625" cy="6845935"/>
                    </a:xfrm>
                    <a:prstGeom prst="rect">
                      <a:avLst/>
                    </a:prstGeom>
                  </pic:spPr>
                </pic:pic>
              </a:graphicData>
            </a:graphic>
          </wp:inline>
        </w:drawing>
      </w:r>
      <w:r>
        <w:rPr>
          <w:rFonts w:hint="eastAsia"/>
          <w:lang w:val="en-US" w:eastAsia="zh-CN"/>
        </w:rPr>
        <w:drawing>
          <wp:inline distT="0" distB="0" distL="114300" distR="114300">
            <wp:extent cx="5518785" cy="7974330"/>
            <wp:effectExtent l="0" t="0" r="5715" b="7620"/>
            <wp:docPr id="39" name="图片 39" descr="附件5.2 验收批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附件5.2 验收批文"/>
                    <pic:cNvPicPr>
                      <a:picLocks noChangeAspect="1"/>
                    </pic:cNvPicPr>
                  </pic:nvPicPr>
                  <pic:blipFill>
                    <a:blip r:embed="rId126"/>
                    <a:srcRect t="8992" b="9733"/>
                    <a:stretch>
                      <a:fillRect/>
                    </a:stretch>
                  </pic:blipFill>
                  <pic:spPr>
                    <a:xfrm>
                      <a:off x="0" y="0"/>
                      <a:ext cx="5518785" cy="7974330"/>
                    </a:xfrm>
                    <a:prstGeom prst="rect">
                      <a:avLst/>
                    </a:prstGeom>
                  </pic:spPr>
                </pic:pic>
              </a:graphicData>
            </a:graphic>
          </wp:inline>
        </w:drawing>
      </w:r>
      <w:r>
        <w:rPr>
          <w:rFonts w:hint="eastAsia"/>
          <w:lang w:val="en-US" w:eastAsia="zh-CN"/>
        </w:rPr>
        <w:drawing>
          <wp:inline distT="0" distB="0" distL="114300" distR="114300">
            <wp:extent cx="5534025" cy="7620000"/>
            <wp:effectExtent l="0" t="0" r="9525" b="0"/>
            <wp:docPr id="40" name="图片 40" descr="附件5.3 批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附件5.3 批复"/>
                    <pic:cNvPicPr>
                      <a:picLocks noChangeAspect="1"/>
                    </pic:cNvPicPr>
                  </pic:nvPicPr>
                  <pic:blipFill>
                    <a:blip r:embed="rId127"/>
                    <a:stretch>
                      <a:fillRect/>
                    </a:stretch>
                  </pic:blipFill>
                  <pic:spPr>
                    <a:xfrm>
                      <a:off x="0" y="0"/>
                      <a:ext cx="5534025" cy="7620000"/>
                    </a:xfrm>
                    <a:prstGeom prst="rect">
                      <a:avLst/>
                    </a:prstGeom>
                  </pic:spPr>
                </pic:pic>
              </a:graphicData>
            </a:graphic>
          </wp:inline>
        </w:drawing>
      </w:r>
      <w:r>
        <w:rPr>
          <w:rFonts w:hint="eastAsia" w:eastAsiaTheme="minorEastAsia"/>
          <w:lang w:eastAsia="zh-CN"/>
        </w:rPr>
        <w:drawing>
          <wp:inline distT="0" distB="0" distL="114300" distR="114300">
            <wp:extent cx="5771515" cy="8084185"/>
            <wp:effectExtent l="0" t="0" r="635" b="12065"/>
            <wp:docPr id="41" name="图片 41" descr="1bca7be647e990ec237ef3c37389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bca7be647e990ec237ef3c37389651"/>
                    <pic:cNvPicPr>
                      <a:picLocks noChangeAspect="1"/>
                    </pic:cNvPicPr>
                  </pic:nvPicPr>
                  <pic:blipFill>
                    <a:blip r:embed="rId128">
                      <a:grayscl/>
                      <a:lum bright="24000" contrast="18000"/>
                    </a:blip>
                    <a:srcRect l="2821" r="5920" b="4141"/>
                    <a:stretch>
                      <a:fillRect/>
                    </a:stretch>
                  </pic:blipFill>
                  <pic:spPr>
                    <a:xfrm>
                      <a:off x="0" y="0"/>
                      <a:ext cx="5771515" cy="8084185"/>
                    </a:xfrm>
                    <a:prstGeom prst="rect">
                      <a:avLst/>
                    </a:prstGeom>
                  </pic:spPr>
                </pic:pic>
              </a:graphicData>
            </a:graphic>
          </wp:inline>
        </w:drawing>
      </w:r>
      <w:r>
        <w:rPr>
          <w:rFonts w:hint="eastAsia" w:eastAsiaTheme="minorEastAsia"/>
          <w:lang w:eastAsia="zh-CN"/>
        </w:rPr>
        <w:drawing>
          <wp:inline distT="0" distB="0" distL="114300" distR="114300">
            <wp:extent cx="6082030" cy="8108950"/>
            <wp:effectExtent l="0" t="0" r="13970" b="6350"/>
            <wp:docPr id="42" name="图片 42" descr="6ad02a49371cf1b912e4ef74b9ee0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6ad02a49371cf1b912e4ef74b9ee0d5"/>
                    <pic:cNvPicPr>
                      <a:picLocks noChangeAspect="1"/>
                    </pic:cNvPicPr>
                  </pic:nvPicPr>
                  <pic:blipFill>
                    <a:blip r:embed="rId129"/>
                    <a:srcRect r="4943" b="4060"/>
                    <a:stretch>
                      <a:fillRect/>
                    </a:stretch>
                  </pic:blipFill>
                  <pic:spPr>
                    <a:xfrm>
                      <a:off x="0" y="0"/>
                      <a:ext cx="6082030" cy="8108950"/>
                    </a:xfrm>
                    <a:prstGeom prst="rect">
                      <a:avLst/>
                    </a:prstGeom>
                  </pic:spPr>
                </pic:pic>
              </a:graphicData>
            </a:graphic>
          </wp:inline>
        </w:drawing>
      </w:r>
      <w:r>
        <w:rPr>
          <w:rFonts w:hint="eastAsia" w:eastAsiaTheme="minorEastAsia"/>
          <w:lang w:eastAsia="zh-CN"/>
        </w:rPr>
        <w:drawing>
          <wp:inline distT="0" distB="0" distL="114300" distR="114300">
            <wp:extent cx="5785485" cy="7713345"/>
            <wp:effectExtent l="0" t="0" r="5715" b="1905"/>
            <wp:docPr id="43" name="图片 43" descr="00178a138d508f7efe0f0412f8d4c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00178a138d508f7efe0f0412f8d4c53"/>
                    <pic:cNvPicPr>
                      <a:picLocks noChangeAspect="1"/>
                    </pic:cNvPicPr>
                  </pic:nvPicPr>
                  <pic:blipFill>
                    <a:blip r:embed="rId130"/>
                    <a:srcRect r="7837" b="1094"/>
                    <a:stretch>
                      <a:fillRect/>
                    </a:stretch>
                  </pic:blipFill>
                  <pic:spPr>
                    <a:xfrm>
                      <a:off x="0" y="0"/>
                      <a:ext cx="5785485" cy="7713345"/>
                    </a:xfrm>
                    <a:prstGeom prst="rect">
                      <a:avLst/>
                    </a:prstGeom>
                  </pic:spPr>
                </pic:pic>
              </a:graphicData>
            </a:graphic>
          </wp:inline>
        </w:drawing>
      </w:r>
    </w:p>
    <w:p>
      <w:pPr>
        <w:rPr>
          <w:rFonts w:hint="eastAsia"/>
          <w:lang w:val="en-US" w:eastAsia="zh-CN"/>
        </w:rPr>
      </w:pPr>
      <w:r>
        <w:rPr>
          <w:rFonts w:hint="eastAsia"/>
          <w:lang w:val="en-US" w:eastAsia="zh-CN"/>
        </w:rPr>
        <w:br w:type="page"/>
      </w:r>
      <w:r>
        <w:drawing>
          <wp:inline distT="0" distB="0" distL="114300" distR="114300">
            <wp:extent cx="5526405" cy="7922260"/>
            <wp:effectExtent l="0" t="0" r="17145" b="2540"/>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
                    <pic:cNvPicPr>
                      <a:picLocks noChangeAspect="1"/>
                    </pic:cNvPicPr>
                  </pic:nvPicPr>
                  <pic:blipFill>
                    <a:blip r:embed="rId131"/>
                    <a:stretch>
                      <a:fillRect/>
                    </a:stretch>
                  </pic:blipFill>
                  <pic:spPr>
                    <a:xfrm>
                      <a:off x="0" y="0"/>
                      <a:ext cx="5526405" cy="7922260"/>
                    </a:xfrm>
                    <a:prstGeom prst="rect">
                      <a:avLst/>
                    </a:prstGeom>
                    <a:noFill/>
                    <a:ln>
                      <a:noFill/>
                    </a:ln>
                  </pic:spPr>
                </pic:pic>
              </a:graphicData>
            </a:graphic>
          </wp:inline>
        </w:drawing>
      </w:r>
    </w:p>
    <w:p>
      <w:pPr>
        <w:pStyle w:val="5"/>
        <w:bidi w:val="0"/>
        <w:jc w:val="both"/>
        <w:rPr>
          <w:rFonts w:hint="default"/>
          <w:lang w:val="en-US" w:eastAsia="zh-CN"/>
        </w:rPr>
      </w:pPr>
      <w:r>
        <w:rPr>
          <w:rFonts w:hint="eastAsia"/>
          <w:lang w:val="en-US" w:eastAsia="zh-CN"/>
        </w:rPr>
        <w:t>附件6  2022年检测报告</w:t>
      </w:r>
    </w:p>
    <w:p>
      <w:pPr>
        <w:ind w:left="0" w:leftChars="0" w:firstLine="0" w:firstLineChars="0"/>
      </w:pPr>
      <w:r>
        <w:drawing>
          <wp:inline distT="0" distB="0" distL="114300" distR="114300">
            <wp:extent cx="5538470" cy="8087995"/>
            <wp:effectExtent l="0" t="0" r="5080" b="8255"/>
            <wp:docPr id="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6"/>
                    <pic:cNvPicPr>
                      <a:picLocks noChangeAspect="1"/>
                    </pic:cNvPicPr>
                  </pic:nvPicPr>
                  <pic:blipFill>
                    <a:blip r:embed="rId132"/>
                    <a:stretch>
                      <a:fillRect/>
                    </a:stretch>
                  </pic:blipFill>
                  <pic:spPr>
                    <a:xfrm>
                      <a:off x="0" y="0"/>
                      <a:ext cx="5538470" cy="8087995"/>
                    </a:xfrm>
                    <a:prstGeom prst="rect">
                      <a:avLst/>
                    </a:prstGeom>
                    <a:noFill/>
                    <a:ln>
                      <a:noFill/>
                    </a:ln>
                  </pic:spPr>
                </pic:pic>
              </a:graphicData>
            </a:graphic>
          </wp:inline>
        </w:drawing>
      </w:r>
      <w:r>
        <w:drawing>
          <wp:inline distT="0" distB="0" distL="114300" distR="114300">
            <wp:extent cx="5527040" cy="8087995"/>
            <wp:effectExtent l="0" t="0" r="16510" b="8255"/>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
                    <pic:cNvPicPr>
                      <a:picLocks noChangeAspect="1"/>
                    </pic:cNvPicPr>
                  </pic:nvPicPr>
                  <pic:blipFill>
                    <a:blip r:embed="rId133"/>
                    <a:stretch>
                      <a:fillRect/>
                    </a:stretch>
                  </pic:blipFill>
                  <pic:spPr>
                    <a:xfrm>
                      <a:off x="0" y="0"/>
                      <a:ext cx="5527040" cy="8087995"/>
                    </a:xfrm>
                    <a:prstGeom prst="rect">
                      <a:avLst/>
                    </a:prstGeom>
                    <a:noFill/>
                    <a:ln>
                      <a:noFill/>
                    </a:ln>
                  </pic:spPr>
                </pic:pic>
              </a:graphicData>
            </a:graphic>
          </wp:inline>
        </w:drawing>
      </w:r>
      <w:r>
        <w:drawing>
          <wp:inline distT="0" distB="0" distL="114300" distR="114300">
            <wp:extent cx="5527040" cy="8149590"/>
            <wp:effectExtent l="0" t="0" r="16510" b="3810"/>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34"/>
                    <a:stretch>
                      <a:fillRect/>
                    </a:stretch>
                  </pic:blipFill>
                  <pic:spPr>
                    <a:xfrm>
                      <a:off x="0" y="0"/>
                      <a:ext cx="5527040" cy="8149590"/>
                    </a:xfrm>
                    <a:prstGeom prst="rect">
                      <a:avLst/>
                    </a:prstGeom>
                    <a:noFill/>
                    <a:ln>
                      <a:noFill/>
                    </a:ln>
                  </pic:spPr>
                </pic:pic>
              </a:graphicData>
            </a:graphic>
          </wp:inline>
        </w:drawing>
      </w:r>
      <w:r>
        <w:drawing>
          <wp:inline distT="0" distB="0" distL="114300" distR="114300">
            <wp:extent cx="5531485" cy="8260715"/>
            <wp:effectExtent l="0" t="0" r="12065" b="6985"/>
            <wp:docPr id="4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
                    <pic:cNvPicPr>
                      <a:picLocks noChangeAspect="1"/>
                    </pic:cNvPicPr>
                  </pic:nvPicPr>
                  <pic:blipFill>
                    <a:blip r:embed="rId135"/>
                    <a:stretch>
                      <a:fillRect/>
                    </a:stretch>
                  </pic:blipFill>
                  <pic:spPr>
                    <a:xfrm>
                      <a:off x="0" y="0"/>
                      <a:ext cx="5531485" cy="8260715"/>
                    </a:xfrm>
                    <a:prstGeom prst="rect">
                      <a:avLst/>
                    </a:prstGeom>
                    <a:noFill/>
                    <a:ln>
                      <a:noFill/>
                    </a:ln>
                  </pic:spPr>
                </pic:pic>
              </a:graphicData>
            </a:graphic>
          </wp:inline>
        </w:drawing>
      </w:r>
      <w:r>
        <w:drawing>
          <wp:inline distT="0" distB="0" distL="114300" distR="114300">
            <wp:extent cx="5541645" cy="8353425"/>
            <wp:effectExtent l="0" t="0" r="1905" b="9525"/>
            <wp:docPr id="4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
                    <pic:cNvPicPr>
                      <a:picLocks noChangeAspect="1"/>
                    </pic:cNvPicPr>
                  </pic:nvPicPr>
                  <pic:blipFill>
                    <a:blip r:embed="rId136"/>
                    <a:stretch>
                      <a:fillRect/>
                    </a:stretch>
                  </pic:blipFill>
                  <pic:spPr>
                    <a:xfrm>
                      <a:off x="0" y="0"/>
                      <a:ext cx="5541645" cy="8353425"/>
                    </a:xfrm>
                    <a:prstGeom prst="rect">
                      <a:avLst/>
                    </a:prstGeom>
                    <a:noFill/>
                    <a:ln>
                      <a:noFill/>
                    </a:ln>
                  </pic:spPr>
                </pic:pic>
              </a:graphicData>
            </a:graphic>
          </wp:inline>
        </w:drawing>
      </w:r>
      <w:r>
        <w:drawing>
          <wp:inline distT="0" distB="0" distL="114300" distR="114300">
            <wp:extent cx="5541010" cy="8302625"/>
            <wp:effectExtent l="0" t="0" r="2540" b="3175"/>
            <wp:docPr id="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
                    <pic:cNvPicPr>
                      <a:picLocks noChangeAspect="1"/>
                    </pic:cNvPicPr>
                  </pic:nvPicPr>
                  <pic:blipFill>
                    <a:blip r:embed="rId137"/>
                    <a:stretch>
                      <a:fillRect/>
                    </a:stretch>
                  </pic:blipFill>
                  <pic:spPr>
                    <a:xfrm>
                      <a:off x="0" y="0"/>
                      <a:ext cx="5541010" cy="8302625"/>
                    </a:xfrm>
                    <a:prstGeom prst="rect">
                      <a:avLst/>
                    </a:prstGeom>
                    <a:noFill/>
                    <a:ln>
                      <a:noFill/>
                    </a:ln>
                  </pic:spPr>
                </pic:pic>
              </a:graphicData>
            </a:graphic>
          </wp:inline>
        </w:drawing>
      </w:r>
    </w:p>
    <w:p>
      <w:pPr>
        <w:pStyle w:val="4"/>
        <w:ind w:left="0" w:leftChars="0" w:firstLine="0" w:firstLineChars="0"/>
        <w:rPr>
          <w:rFonts w:hint="default"/>
          <w:lang w:val="en-US" w:eastAsia="zh-CN"/>
        </w:rPr>
      </w:pPr>
    </w:p>
    <w:sectPr>
      <w:pgSz w:w="11906" w:h="16838"/>
      <w:pgMar w:top="1440" w:right="1134" w:bottom="1440" w:left="113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方正小标宋_GBK">
    <w:altName w:val="微软雅黑"/>
    <w:panose1 w:val="03000509000000000000"/>
    <w:charset w:val="86"/>
    <w:family w:val="script"/>
    <w:pitch w:val="default"/>
    <w:sig w:usb0="00000000" w:usb1="00000000" w:usb2="0000000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Wingdings 2">
    <w:panose1 w:val="05020102010507070707"/>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right="360" w:firstLine="360"/>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10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pPr>
                            <w:pStyle w:val="21"/>
                            <w:rPr>
                              <w:rStyle w:val="34"/>
                              <w:rFonts w:ascii="宋体" w:hAnsi="宋体"/>
                              <w:sz w:val="28"/>
                              <w:szCs w:val="28"/>
                            </w:rPr>
                          </w:pPr>
                          <w:r>
                            <w:rPr>
                              <w:rStyle w:val="34"/>
                              <w:rFonts w:hint="eastAsia" w:ascii="宋体" w:hAnsi="宋体"/>
                              <w:sz w:val="28"/>
                              <w:szCs w:val="28"/>
                            </w:rPr>
                            <w:t>—</w:t>
                          </w:r>
                          <w:r>
                            <w:rPr>
                              <w:rStyle w:val="34"/>
                              <w:rFonts w:hint="eastAsia" w:ascii="宋体" w:hAnsi="宋体"/>
                              <w:sz w:val="20"/>
                            </w:rPr>
                            <w:t xml:space="preserve">  </w:t>
                          </w:r>
                          <w:r>
                            <w:rPr>
                              <w:rFonts w:ascii="宋体" w:hAnsi="宋体"/>
                              <w:sz w:val="26"/>
                              <w:szCs w:val="26"/>
                            </w:rPr>
                            <w:fldChar w:fldCharType="begin"/>
                          </w:r>
                          <w:r>
                            <w:rPr>
                              <w:rStyle w:val="34"/>
                              <w:rFonts w:ascii="宋体" w:hAnsi="宋体"/>
                              <w:sz w:val="26"/>
                              <w:szCs w:val="26"/>
                            </w:rPr>
                            <w:instrText xml:space="preserve">PAGE  </w:instrText>
                          </w:r>
                          <w:r>
                            <w:rPr>
                              <w:rFonts w:ascii="宋体" w:hAnsi="宋体"/>
                              <w:sz w:val="26"/>
                              <w:szCs w:val="26"/>
                            </w:rPr>
                            <w:fldChar w:fldCharType="separate"/>
                          </w:r>
                          <w:r>
                            <w:rPr>
                              <w:rStyle w:val="34"/>
                              <w:rFonts w:ascii="宋体" w:hAnsi="宋体"/>
                              <w:sz w:val="26"/>
                              <w:szCs w:val="26"/>
                            </w:rPr>
                            <w:t>52</w:t>
                          </w:r>
                          <w:r>
                            <w:rPr>
                              <w:rFonts w:ascii="宋体" w:hAnsi="宋体"/>
                              <w:sz w:val="26"/>
                              <w:szCs w:val="26"/>
                            </w:rPr>
                            <w:fldChar w:fldCharType="end"/>
                          </w:r>
                          <w:r>
                            <w:rPr>
                              <w:rStyle w:val="34"/>
                              <w:rFonts w:hint="eastAsia" w:ascii="宋体" w:hAnsi="宋体"/>
                              <w:sz w:val="20"/>
                            </w:rPr>
                            <w:t xml:space="preserve">  </w:t>
                          </w:r>
                          <w:r>
                            <w:rPr>
                              <w:rStyle w:val="34"/>
                              <w:rFonts w:hint="eastAsia" w:ascii="宋体" w:hAnsi="宋体"/>
                              <w:sz w:val="28"/>
                              <w:szCs w:val="28"/>
                            </w:rPr>
                            <w:t>—</w:t>
                          </w:r>
                        </w:p>
                      </w:txbxContent>
                    </wps:txbx>
                    <wps:bodyPr wrap="none" lIns="0" tIns="0" rIns="0" bIns="0">
                      <a:spAutoFit/>
                    </wps:bodyPr>
                  </wps:wsp>
                </a:graphicData>
              </a:graphic>
            </wp:anchor>
          </w:drawing>
        </mc:Choice>
        <mc:Fallback>
          <w:pict>
            <v:shape id="文本框 1025"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DSm+zQyQEAAJ4DAAAOAAAAAAAAAAEAIAAAAB4BAABkcnMvZTJvRG9j&#10;LnhtbFBLBQYAAAAABgAGAFkBAABZBQAAAAA=&#10;">
              <v:fill on="f" focussize="0,0"/>
              <v:stroke on="f"/>
              <v:imagedata o:title=""/>
              <o:lock v:ext="edit" aspectratio="f"/>
              <v:textbox inset="0mm,0mm,0mm,0mm" style="mso-fit-shape-to-text:t;">
                <w:txbxContent>
                  <w:p>
                    <w:pPr>
                      <w:pStyle w:val="21"/>
                      <w:rPr>
                        <w:rStyle w:val="34"/>
                        <w:rFonts w:ascii="宋体" w:hAnsi="宋体"/>
                        <w:sz w:val="28"/>
                        <w:szCs w:val="28"/>
                      </w:rPr>
                    </w:pPr>
                    <w:r>
                      <w:rPr>
                        <w:rStyle w:val="34"/>
                        <w:rFonts w:hint="eastAsia" w:ascii="宋体" w:hAnsi="宋体"/>
                        <w:sz w:val="28"/>
                        <w:szCs w:val="28"/>
                      </w:rPr>
                      <w:t>—</w:t>
                    </w:r>
                    <w:r>
                      <w:rPr>
                        <w:rStyle w:val="34"/>
                        <w:rFonts w:hint="eastAsia" w:ascii="宋体" w:hAnsi="宋体"/>
                        <w:sz w:val="20"/>
                      </w:rPr>
                      <w:t xml:space="preserve">  </w:t>
                    </w:r>
                    <w:r>
                      <w:rPr>
                        <w:rFonts w:ascii="宋体" w:hAnsi="宋体"/>
                        <w:sz w:val="26"/>
                        <w:szCs w:val="26"/>
                      </w:rPr>
                      <w:fldChar w:fldCharType="begin"/>
                    </w:r>
                    <w:r>
                      <w:rPr>
                        <w:rStyle w:val="34"/>
                        <w:rFonts w:ascii="宋体" w:hAnsi="宋体"/>
                        <w:sz w:val="26"/>
                        <w:szCs w:val="26"/>
                      </w:rPr>
                      <w:instrText xml:space="preserve">PAGE  </w:instrText>
                    </w:r>
                    <w:r>
                      <w:rPr>
                        <w:rFonts w:ascii="宋体" w:hAnsi="宋体"/>
                        <w:sz w:val="26"/>
                        <w:szCs w:val="26"/>
                      </w:rPr>
                      <w:fldChar w:fldCharType="separate"/>
                    </w:r>
                    <w:r>
                      <w:rPr>
                        <w:rStyle w:val="34"/>
                        <w:rFonts w:ascii="宋体" w:hAnsi="宋体"/>
                        <w:sz w:val="26"/>
                        <w:szCs w:val="26"/>
                      </w:rPr>
                      <w:t>52</w:t>
                    </w:r>
                    <w:r>
                      <w:rPr>
                        <w:rFonts w:ascii="宋体" w:hAnsi="宋体"/>
                        <w:sz w:val="26"/>
                        <w:szCs w:val="26"/>
                      </w:rPr>
                      <w:fldChar w:fldCharType="end"/>
                    </w:r>
                    <w:r>
                      <w:rPr>
                        <w:rStyle w:val="34"/>
                        <w:rFonts w:hint="eastAsia" w:ascii="宋体" w:hAnsi="宋体"/>
                        <w:sz w:val="20"/>
                      </w:rPr>
                      <w:t xml:space="preserve">  </w:t>
                    </w:r>
                    <w:r>
                      <w:rPr>
                        <w:rStyle w:val="34"/>
                        <w:rFonts w:hint="eastAsia" w:ascii="宋体" w:hAnsi="宋体"/>
                        <w:sz w:val="28"/>
                        <w:szCs w:val="28"/>
                      </w:rPr>
                      <w:t>—</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right="360" w:firstLine="360"/>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10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pPr>
                            <w:pStyle w:val="21"/>
                            <w:rPr>
                              <w:rStyle w:val="34"/>
                              <w:rFonts w:ascii="宋体" w:hAnsi="宋体"/>
                              <w:sz w:val="28"/>
                              <w:szCs w:val="28"/>
                            </w:rPr>
                          </w:pPr>
                          <w:r>
                            <w:rPr>
                              <w:rStyle w:val="34"/>
                              <w:rFonts w:hint="eastAsia" w:ascii="宋体" w:hAnsi="宋体"/>
                              <w:sz w:val="28"/>
                              <w:szCs w:val="28"/>
                            </w:rPr>
                            <w:t>—</w:t>
                          </w:r>
                          <w:r>
                            <w:rPr>
                              <w:rStyle w:val="34"/>
                              <w:rFonts w:hint="eastAsia" w:ascii="宋体" w:hAnsi="宋体"/>
                              <w:sz w:val="20"/>
                            </w:rPr>
                            <w:t xml:space="preserve">  </w:t>
                          </w:r>
                          <w:r>
                            <w:rPr>
                              <w:rFonts w:ascii="宋体" w:hAnsi="宋体"/>
                              <w:sz w:val="26"/>
                              <w:szCs w:val="26"/>
                            </w:rPr>
                            <w:fldChar w:fldCharType="begin"/>
                          </w:r>
                          <w:r>
                            <w:rPr>
                              <w:rStyle w:val="34"/>
                              <w:rFonts w:ascii="宋体" w:hAnsi="宋体"/>
                              <w:sz w:val="26"/>
                              <w:szCs w:val="26"/>
                            </w:rPr>
                            <w:instrText xml:space="preserve">PAGE  </w:instrText>
                          </w:r>
                          <w:r>
                            <w:rPr>
                              <w:rFonts w:ascii="宋体" w:hAnsi="宋体"/>
                              <w:sz w:val="26"/>
                              <w:szCs w:val="26"/>
                            </w:rPr>
                            <w:fldChar w:fldCharType="separate"/>
                          </w:r>
                          <w:r>
                            <w:rPr>
                              <w:rStyle w:val="34"/>
                              <w:rFonts w:ascii="宋体" w:hAnsi="宋体"/>
                              <w:sz w:val="26"/>
                              <w:szCs w:val="26"/>
                            </w:rPr>
                            <w:t>54</w:t>
                          </w:r>
                          <w:r>
                            <w:rPr>
                              <w:rFonts w:ascii="宋体" w:hAnsi="宋体"/>
                              <w:sz w:val="26"/>
                              <w:szCs w:val="26"/>
                            </w:rPr>
                            <w:fldChar w:fldCharType="end"/>
                          </w:r>
                          <w:r>
                            <w:rPr>
                              <w:rStyle w:val="34"/>
                              <w:rFonts w:hint="eastAsia" w:ascii="宋体" w:hAnsi="宋体"/>
                              <w:sz w:val="20"/>
                            </w:rPr>
                            <w:t xml:space="preserve">  </w:t>
                          </w:r>
                          <w:r>
                            <w:rPr>
                              <w:rStyle w:val="34"/>
                              <w:rFonts w:hint="eastAsia" w:ascii="宋体" w:hAnsi="宋体"/>
                              <w:sz w:val="28"/>
                              <w:szCs w:val="28"/>
                            </w:rPr>
                            <w:t>—</w:t>
                          </w:r>
                        </w:p>
                      </w:txbxContent>
                    </wps:txbx>
                    <wps:bodyPr wrap="none" lIns="0" tIns="0" rIns="0" bIns="0">
                      <a:spAutoFit/>
                    </wps:bodyPr>
                  </wps:wsp>
                </a:graphicData>
              </a:graphic>
            </wp:anchor>
          </w:drawing>
        </mc:Choice>
        <mc:Fallback>
          <w:pict>
            <v:shape id="文本框 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KCy0L3IAQAAngMAAA4AAAAAAAAAAQAgAAAAHgEAAGRycy9lMm9Eb2Mu&#10;eG1sUEsFBgAAAAAGAAYAWQEAAFgFAAAAAA==&#10;">
              <v:fill on="f" focussize="0,0"/>
              <v:stroke on="f"/>
              <v:imagedata o:title=""/>
              <o:lock v:ext="edit" aspectratio="f"/>
              <v:textbox inset="0mm,0mm,0mm,0mm" style="mso-fit-shape-to-text:t;">
                <w:txbxContent>
                  <w:p>
                    <w:pPr>
                      <w:pStyle w:val="21"/>
                      <w:rPr>
                        <w:rStyle w:val="34"/>
                        <w:rFonts w:ascii="宋体" w:hAnsi="宋体"/>
                        <w:sz w:val="28"/>
                        <w:szCs w:val="28"/>
                      </w:rPr>
                    </w:pPr>
                    <w:r>
                      <w:rPr>
                        <w:rStyle w:val="34"/>
                        <w:rFonts w:hint="eastAsia" w:ascii="宋体" w:hAnsi="宋体"/>
                        <w:sz w:val="28"/>
                        <w:szCs w:val="28"/>
                      </w:rPr>
                      <w:t>—</w:t>
                    </w:r>
                    <w:r>
                      <w:rPr>
                        <w:rStyle w:val="34"/>
                        <w:rFonts w:hint="eastAsia" w:ascii="宋体" w:hAnsi="宋体"/>
                        <w:sz w:val="20"/>
                      </w:rPr>
                      <w:t xml:space="preserve">  </w:t>
                    </w:r>
                    <w:r>
                      <w:rPr>
                        <w:rFonts w:ascii="宋体" w:hAnsi="宋体"/>
                        <w:sz w:val="26"/>
                        <w:szCs w:val="26"/>
                      </w:rPr>
                      <w:fldChar w:fldCharType="begin"/>
                    </w:r>
                    <w:r>
                      <w:rPr>
                        <w:rStyle w:val="34"/>
                        <w:rFonts w:ascii="宋体" w:hAnsi="宋体"/>
                        <w:sz w:val="26"/>
                        <w:szCs w:val="26"/>
                      </w:rPr>
                      <w:instrText xml:space="preserve">PAGE  </w:instrText>
                    </w:r>
                    <w:r>
                      <w:rPr>
                        <w:rFonts w:ascii="宋体" w:hAnsi="宋体"/>
                        <w:sz w:val="26"/>
                        <w:szCs w:val="26"/>
                      </w:rPr>
                      <w:fldChar w:fldCharType="separate"/>
                    </w:r>
                    <w:r>
                      <w:rPr>
                        <w:rStyle w:val="34"/>
                        <w:rFonts w:ascii="宋体" w:hAnsi="宋体"/>
                        <w:sz w:val="26"/>
                        <w:szCs w:val="26"/>
                      </w:rPr>
                      <w:t>54</w:t>
                    </w:r>
                    <w:r>
                      <w:rPr>
                        <w:rFonts w:ascii="宋体" w:hAnsi="宋体"/>
                        <w:sz w:val="26"/>
                        <w:szCs w:val="26"/>
                      </w:rPr>
                      <w:fldChar w:fldCharType="end"/>
                    </w:r>
                    <w:r>
                      <w:rPr>
                        <w:rStyle w:val="34"/>
                        <w:rFonts w:hint="eastAsia" w:ascii="宋体" w:hAnsi="宋体"/>
                        <w:sz w:val="20"/>
                      </w:rPr>
                      <w:t xml:space="preserve">  </w:t>
                    </w:r>
                    <w:r>
                      <w:rPr>
                        <w:rStyle w:val="34"/>
                        <w:rFonts w:hint="eastAsia" w:ascii="宋体" w:hAnsi="宋体"/>
                        <w:sz w:val="28"/>
                        <w:szCs w:val="28"/>
                      </w:rPr>
                      <w:t>—</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right="360" w:firstLine="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3DE9B2A"/>
    <w:multiLevelType w:val="singleLevel"/>
    <w:tmpl w:val="E3DE9B2A"/>
    <w:lvl w:ilvl="0" w:tentative="0">
      <w:start w:val="1"/>
      <w:numFmt w:val="chineseCounting"/>
      <w:suff w:val="nothing"/>
      <w:lvlText w:val="%1、"/>
      <w:lvlJc w:val="left"/>
      <w:rPr>
        <w:rFonts w:hint="eastAsia"/>
      </w:rPr>
    </w:lvl>
  </w:abstractNum>
  <w:abstractNum w:abstractNumId="1">
    <w:nsid w:val="20E7BC68"/>
    <w:multiLevelType w:val="singleLevel"/>
    <w:tmpl w:val="20E7BC68"/>
    <w:lvl w:ilvl="0" w:tentative="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hideSpellingErrors/>
  <w:documentProtection w:edit="trackedChanges" w:enforcement="0"/>
  <w:defaultTabStop w:val="42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ˇˉ―‖’”…∶、。〃々〉》」』】〕〗！＂＇），．：；？］｀｜｝～￠"/>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g3YzIwZDllZjQzMDBhM2U5ZGYwNjczNzg3NzJmN2UifQ=="/>
  </w:docVars>
  <w:rsids>
    <w:rsidRoot w:val="00172A27"/>
    <w:rsid w:val="000060B3"/>
    <w:rsid w:val="00017C2C"/>
    <w:rsid w:val="0004364B"/>
    <w:rsid w:val="00061B1F"/>
    <w:rsid w:val="000733C4"/>
    <w:rsid w:val="00074783"/>
    <w:rsid w:val="0008070B"/>
    <w:rsid w:val="000810AC"/>
    <w:rsid w:val="00081A02"/>
    <w:rsid w:val="00082231"/>
    <w:rsid w:val="00092D38"/>
    <w:rsid w:val="0009377B"/>
    <w:rsid w:val="000A20C9"/>
    <w:rsid w:val="000B058F"/>
    <w:rsid w:val="000B4467"/>
    <w:rsid w:val="000B4DB9"/>
    <w:rsid w:val="000C09AC"/>
    <w:rsid w:val="000C767F"/>
    <w:rsid w:val="000D5A44"/>
    <w:rsid w:val="000E3ED2"/>
    <w:rsid w:val="00102319"/>
    <w:rsid w:val="00131F42"/>
    <w:rsid w:val="001357F1"/>
    <w:rsid w:val="00140FA8"/>
    <w:rsid w:val="00142FEB"/>
    <w:rsid w:val="00143A2D"/>
    <w:rsid w:val="00145A41"/>
    <w:rsid w:val="00151675"/>
    <w:rsid w:val="00157435"/>
    <w:rsid w:val="0017504D"/>
    <w:rsid w:val="0017671A"/>
    <w:rsid w:val="00177422"/>
    <w:rsid w:val="00184590"/>
    <w:rsid w:val="001870D1"/>
    <w:rsid w:val="0018781E"/>
    <w:rsid w:val="0019262D"/>
    <w:rsid w:val="001A1B35"/>
    <w:rsid w:val="001A48A2"/>
    <w:rsid w:val="001A6F61"/>
    <w:rsid w:val="001B72B8"/>
    <w:rsid w:val="001C69B3"/>
    <w:rsid w:val="001D5595"/>
    <w:rsid w:val="001D7874"/>
    <w:rsid w:val="001D7F22"/>
    <w:rsid w:val="001F0F17"/>
    <w:rsid w:val="001F3347"/>
    <w:rsid w:val="001F69E4"/>
    <w:rsid w:val="00205F99"/>
    <w:rsid w:val="002125B4"/>
    <w:rsid w:val="002155B8"/>
    <w:rsid w:val="00224839"/>
    <w:rsid w:val="002249B2"/>
    <w:rsid w:val="00226574"/>
    <w:rsid w:val="002278EC"/>
    <w:rsid w:val="0023280E"/>
    <w:rsid w:val="002377D1"/>
    <w:rsid w:val="002506BC"/>
    <w:rsid w:val="00254345"/>
    <w:rsid w:val="00264557"/>
    <w:rsid w:val="002805AB"/>
    <w:rsid w:val="00284204"/>
    <w:rsid w:val="00291773"/>
    <w:rsid w:val="00294959"/>
    <w:rsid w:val="002A168C"/>
    <w:rsid w:val="002A3DC7"/>
    <w:rsid w:val="002B49E2"/>
    <w:rsid w:val="002B7B00"/>
    <w:rsid w:val="002B7C44"/>
    <w:rsid w:val="002C2B17"/>
    <w:rsid w:val="002D3DD0"/>
    <w:rsid w:val="002E1F3A"/>
    <w:rsid w:val="002E298A"/>
    <w:rsid w:val="00301978"/>
    <w:rsid w:val="0030332C"/>
    <w:rsid w:val="003051C2"/>
    <w:rsid w:val="00312296"/>
    <w:rsid w:val="00314F0E"/>
    <w:rsid w:val="00321D8E"/>
    <w:rsid w:val="00325928"/>
    <w:rsid w:val="003321CF"/>
    <w:rsid w:val="00332863"/>
    <w:rsid w:val="0033684D"/>
    <w:rsid w:val="00337B42"/>
    <w:rsid w:val="00341B42"/>
    <w:rsid w:val="0034348F"/>
    <w:rsid w:val="00356653"/>
    <w:rsid w:val="0035743F"/>
    <w:rsid w:val="00357BE2"/>
    <w:rsid w:val="0036170C"/>
    <w:rsid w:val="00366E0F"/>
    <w:rsid w:val="00381A72"/>
    <w:rsid w:val="00384676"/>
    <w:rsid w:val="00390857"/>
    <w:rsid w:val="003A4BF3"/>
    <w:rsid w:val="003B420D"/>
    <w:rsid w:val="003C6C16"/>
    <w:rsid w:val="003D794D"/>
    <w:rsid w:val="003E3058"/>
    <w:rsid w:val="003E76A9"/>
    <w:rsid w:val="003F0809"/>
    <w:rsid w:val="003F6A8C"/>
    <w:rsid w:val="003F755C"/>
    <w:rsid w:val="00406F01"/>
    <w:rsid w:val="00416D50"/>
    <w:rsid w:val="00416FD5"/>
    <w:rsid w:val="00417772"/>
    <w:rsid w:val="00420E6A"/>
    <w:rsid w:val="00425A9E"/>
    <w:rsid w:val="00426D6B"/>
    <w:rsid w:val="00427AE3"/>
    <w:rsid w:val="00431E6C"/>
    <w:rsid w:val="00433CE7"/>
    <w:rsid w:val="00452738"/>
    <w:rsid w:val="00456091"/>
    <w:rsid w:val="00466321"/>
    <w:rsid w:val="00484B9B"/>
    <w:rsid w:val="004855F6"/>
    <w:rsid w:val="0048661E"/>
    <w:rsid w:val="00494670"/>
    <w:rsid w:val="004A3823"/>
    <w:rsid w:val="004A6EA6"/>
    <w:rsid w:val="004E6946"/>
    <w:rsid w:val="004F1AD8"/>
    <w:rsid w:val="004F5648"/>
    <w:rsid w:val="005039CB"/>
    <w:rsid w:val="0050558F"/>
    <w:rsid w:val="00506286"/>
    <w:rsid w:val="00510813"/>
    <w:rsid w:val="00511990"/>
    <w:rsid w:val="00511DE0"/>
    <w:rsid w:val="00514870"/>
    <w:rsid w:val="00514B9B"/>
    <w:rsid w:val="00517F02"/>
    <w:rsid w:val="00524303"/>
    <w:rsid w:val="005258A2"/>
    <w:rsid w:val="005358D6"/>
    <w:rsid w:val="005401AE"/>
    <w:rsid w:val="00542E07"/>
    <w:rsid w:val="00545424"/>
    <w:rsid w:val="00554A7B"/>
    <w:rsid w:val="0055572C"/>
    <w:rsid w:val="0056106A"/>
    <w:rsid w:val="005720AE"/>
    <w:rsid w:val="00594D77"/>
    <w:rsid w:val="005969E4"/>
    <w:rsid w:val="005A06B7"/>
    <w:rsid w:val="005A1759"/>
    <w:rsid w:val="005A68A7"/>
    <w:rsid w:val="005D36AB"/>
    <w:rsid w:val="00617CC3"/>
    <w:rsid w:val="006377A6"/>
    <w:rsid w:val="00637A3D"/>
    <w:rsid w:val="006411EF"/>
    <w:rsid w:val="006712F1"/>
    <w:rsid w:val="006748B8"/>
    <w:rsid w:val="006775C3"/>
    <w:rsid w:val="0069290A"/>
    <w:rsid w:val="0069775A"/>
    <w:rsid w:val="00697813"/>
    <w:rsid w:val="006A3EE8"/>
    <w:rsid w:val="006A72BF"/>
    <w:rsid w:val="006B03F2"/>
    <w:rsid w:val="006B37DC"/>
    <w:rsid w:val="006B4F68"/>
    <w:rsid w:val="006C0592"/>
    <w:rsid w:val="006C272E"/>
    <w:rsid w:val="006C5479"/>
    <w:rsid w:val="006D13B5"/>
    <w:rsid w:val="006E12FF"/>
    <w:rsid w:val="006E607E"/>
    <w:rsid w:val="00706C5D"/>
    <w:rsid w:val="00732922"/>
    <w:rsid w:val="0075162E"/>
    <w:rsid w:val="00754034"/>
    <w:rsid w:val="00756556"/>
    <w:rsid w:val="007618C4"/>
    <w:rsid w:val="00767980"/>
    <w:rsid w:val="00770B19"/>
    <w:rsid w:val="0077463F"/>
    <w:rsid w:val="007836EA"/>
    <w:rsid w:val="00784CDA"/>
    <w:rsid w:val="007906C4"/>
    <w:rsid w:val="007940EA"/>
    <w:rsid w:val="007967E8"/>
    <w:rsid w:val="007A2170"/>
    <w:rsid w:val="007A22BF"/>
    <w:rsid w:val="007A3323"/>
    <w:rsid w:val="007B72B8"/>
    <w:rsid w:val="007B7A58"/>
    <w:rsid w:val="007C0EBB"/>
    <w:rsid w:val="007C21B5"/>
    <w:rsid w:val="007E4BD2"/>
    <w:rsid w:val="00801393"/>
    <w:rsid w:val="00802F88"/>
    <w:rsid w:val="0081293E"/>
    <w:rsid w:val="00815465"/>
    <w:rsid w:val="00817E9A"/>
    <w:rsid w:val="008306BD"/>
    <w:rsid w:val="00831A80"/>
    <w:rsid w:val="00833743"/>
    <w:rsid w:val="008340A4"/>
    <w:rsid w:val="00850A5D"/>
    <w:rsid w:val="0087135F"/>
    <w:rsid w:val="00872D94"/>
    <w:rsid w:val="00880364"/>
    <w:rsid w:val="00891592"/>
    <w:rsid w:val="00891E9E"/>
    <w:rsid w:val="008A2F68"/>
    <w:rsid w:val="008B4FA6"/>
    <w:rsid w:val="008B5282"/>
    <w:rsid w:val="008B7C17"/>
    <w:rsid w:val="008C2D01"/>
    <w:rsid w:val="008C40E6"/>
    <w:rsid w:val="008D0F7A"/>
    <w:rsid w:val="008D68E4"/>
    <w:rsid w:val="008E0506"/>
    <w:rsid w:val="008E0CFF"/>
    <w:rsid w:val="008E5D6B"/>
    <w:rsid w:val="008E76F0"/>
    <w:rsid w:val="008F15FE"/>
    <w:rsid w:val="008F2D29"/>
    <w:rsid w:val="008F5187"/>
    <w:rsid w:val="008F60D8"/>
    <w:rsid w:val="00902727"/>
    <w:rsid w:val="0090312B"/>
    <w:rsid w:val="0091736D"/>
    <w:rsid w:val="0093037A"/>
    <w:rsid w:val="0094154D"/>
    <w:rsid w:val="0095155F"/>
    <w:rsid w:val="00954429"/>
    <w:rsid w:val="009563CE"/>
    <w:rsid w:val="00967482"/>
    <w:rsid w:val="00976328"/>
    <w:rsid w:val="0097680D"/>
    <w:rsid w:val="00982438"/>
    <w:rsid w:val="0098404C"/>
    <w:rsid w:val="00985283"/>
    <w:rsid w:val="00995992"/>
    <w:rsid w:val="009A03E5"/>
    <w:rsid w:val="009A0F3B"/>
    <w:rsid w:val="009A1BB4"/>
    <w:rsid w:val="009A2628"/>
    <w:rsid w:val="009A3200"/>
    <w:rsid w:val="009B0897"/>
    <w:rsid w:val="009B7BD9"/>
    <w:rsid w:val="009C7DD5"/>
    <w:rsid w:val="009E227D"/>
    <w:rsid w:val="009E5019"/>
    <w:rsid w:val="00A04F1B"/>
    <w:rsid w:val="00A0501B"/>
    <w:rsid w:val="00A14947"/>
    <w:rsid w:val="00A32A83"/>
    <w:rsid w:val="00A368DB"/>
    <w:rsid w:val="00A423AA"/>
    <w:rsid w:val="00A53EC6"/>
    <w:rsid w:val="00A55C0F"/>
    <w:rsid w:val="00A8713F"/>
    <w:rsid w:val="00A90BA1"/>
    <w:rsid w:val="00A97A9A"/>
    <w:rsid w:val="00AA0671"/>
    <w:rsid w:val="00AA2531"/>
    <w:rsid w:val="00AB1E09"/>
    <w:rsid w:val="00AB5330"/>
    <w:rsid w:val="00AB7747"/>
    <w:rsid w:val="00AC14CE"/>
    <w:rsid w:val="00AC2A56"/>
    <w:rsid w:val="00AD055E"/>
    <w:rsid w:val="00AD14D9"/>
    <w:rsid w:val="00AD47A7"/>
    <w:rsid w:val="00AF0CBF"/>
    <w:rsid w:val="00AF257F"/>
    <w:rsid w:val="00AF33CF"/>
    <w:rsid w:val="00AF4D50"/>
    <w:rsid w:val="00AF6179"/>
    <w:rsid w:val="00B1295A"/>
    <w:rsid w:val="00B20A45"/>
    <w:rsid w:val="00B22C5C"/>
    <w:rsid w:val="00B24F30"/>
    <w:rsid w:val="00B31ABF"/>
    <w:rsid w:val="00B33BE3"/>
    <w:rsid w:val="00B47F39"/>
    <w:rsid w:val="00B53B5D"/>
    <w:rsid w:val="00B6055E"/>
    <w:rsid w:val="00B6317D"/>
    <w:rsid w:val="00B7723F"/>
    <w:rsid w:val="00B80534"/>
    <w:rsid w:val="00B8433C"/>
    <w:rsid w:val="00B87491"/>
    <w:rsid w:val="00BA29E9"/>
    <w:rsid w:val="00BA7142"/>
    <w:rsid w:val="00BB237C"/>
    <w:rsid w:val="00BB41A3"/>
    <w:rsid w:val="00BC32DC"/>
    <w:rsid w:val="00BC35B6"/>
    <w:rsid w:val="00BC5476"/>
    <w:rsid w:val="00BD1B51"/>
    <w:rsid w:val="00BD4596"/>
    <w:rsid w:val="00BE1405"/>
    <w:rsid w:val="00BE312D"/>
    <w:rsid w:val="00BF1C20"/>
    <w:rsid w:val="00C10578"/>
    <w:rsid w:val="00C135BC"/>
    <w:rsid w:val="00C15C95"/>
    <w:rsid w:val="00C2596A"/>
    <w:rsid w:val="00C27537"/>
    <w:rsid w:val="00C328FE"/>
    <w:rsid w:val="00C33507"/>
    <w:rsid w:val="00C4409D"/>
    <w:rsid w:val="00C44E72"/>
    <w:rsid w:val="00C45A06"/>
    <w:rsid w:val="00C47E5B"/>
    <w:rsid w:val="00C61E4B"/>
    <w:rsid w:val="00C64BFF"/>
    <w:rsid w:val="00C704E9"/>
    <w:rsid w:val="00C763C9"/>
    <w:rsid w:val="00C80057"/>
    <w:rsid w:val="00C82232"/>
    <w:rsid w:val="00C82913"/>
    <w:rsid w:val="00C972B1"/>
    <w:rsid w:val="00CA2CCE"/>
    <w:rsid w:val="00CA43FD"/>
    <w:rsid w:val="00CA7EF8"/>
    <w:rsid w:val="00CB6A7F"/>
    <w:rsid w:val="00CC4823"/>
    <w:rsid w:val="00CC489B"/>
    <w:rsid w:val="00CD2BCD"/>
    <w:rsid w:val="00CD3A4C"/>
    <w:rsid w:val="00CE10E9"/>
    <w:rsid w:val="00CE2910"/>
    <w:rsid w:val="00CE5393"/>
    <w:rsid w:val="00CF36BE"/>
    <w:rsid w:val="00CF6000"/>
    <w:rsid w:val="00D003F3"/>
    <w:rsid w:val="00D0364F"/>
    <w:rsid w:val="00D04BEB"/>
    <w:rsid w:val="00D06834"/>
    <w:rsid w:val="00D308ED"/>
    <w:rsid w:val="00D36D86"/>
    <w:rsid w:val="00D428AA"/>
    <w:rsid w:val="00D50A34"/>
    <w:rsid w:val="00D53EFA"/>
    <w:rsid w:val="00D9386A"/>
    <w:rsid w:val="00D94A7C"/>
    <w:rsid w:val="00D95896"/>
    <w:rsid w:val="00DB2983"/>
    <w:rsid w:val="00DC1257"/>
    <w:rsid w:val="00DC3DC0"/>
    <w:rsid w:val="00DC5B2B"/>
    <w:rsid w:val="00DC7F09"/>
    <w:rsid w:val="00DD2937"/>
    <w:rsid w:val="00DD318D"/>
    <w:rsid w:val="00DF2E12"/>
    <w:rsid w:val="00DF514A"/>
    <w:rsid w:val="00DF6690"/>
    <w:rsid w:val="00DF6804"/>
    <w:rsid w:val="00E0358D"/>
    <w:rsid w:val="00E04323"/>
    <w:rsid w:val="00E070A2"/>
    <w:rsid w:val="00E2656A"/>
    <w:rsid w:val="00E412D0"/>
    <w:rsid w:val="00E56322"/>
    <w:rsid w:val="00E60982"/>
    <w:rsid w:val="00E62C62"/>
    <w:rsid w:val="00E654C1"/>
    <w:rsid w:val="00E65D97"/>
    <w:rsid w:val="00E72A5A"/>
    <w:rsid w:val="00E73354"/>
    <w:rsid w:val="00E9242D"/>
    <w:rsid w:val="00EA79B9"/>
    <w:rsid w:val="00EB5255"/>
    <w:rsid w:val="00EB5C47"/>
    <w:rsid w:val="00EB71EF"/>
    <w:rsid w:val="00ED0639"/>
    <w:rsid w:val="00EF4755"/>
    <w:rsid w:val="00EF7135"/>
    <w:rsid w:val="00F027DB"/>
    <w:rsid w:val="00F06396"/>
    <w:rsid w:val="00F14A7A"/>
    <w:rsid w:val="00F22985"/>
    <w:rsid w:val="00F3383E"/>
    <w:rsid w:val="00F465A7"/>
    <w:rsid w:val="00F50B7C"/>
    <w:rsid w:val="00F550E6"/>
    <w:rsid w:val="00F74345"/>
    <w:rsid w:val="00F80A0A"/>
    <w:rsid w:val="00F82B19"/>
    <w:rsid w:val="00F835B8"/>
    <w:rsid w:val="00F9212D"/>
    <w:rsid w:val="00F965DA"/>
    <w:rsid w:val="00FA406A"/>
    <w:rsid w:val="00FB503A"/>
    <w:rsid w:val="00FB516C"/>
    <w:rsid w:val="00FD0236"/>
    <w:rsid w:val="00FD18F4"/>
    <w:rsid w:val="00FD54DB"/>
    <w:rsid w:val="00FD619F"/>
    <w:rsid w:val="0127602C"/>
    <w:rsid w:val="01290F7E"/>
    <w:rsid w:val="01381417"/>
    <w:rsid w:val="013C14D6"/>
    <w:rsid w:val="01545A05"/>
    <w:rsid w:val="015D1E09"/>
    <w:rsid w:val="017716F4"/>
    <w:rsid w:val="017C09B1"/>
    <w:rsid w:val="0198695E"/>
    <w:rsid w:val="01D73C13"/>
    <w:rsid w:val="01EF572E"/>
    <w:rsid w:val="025E089F"/>
    <w:rsid w:val="02697903"/>
    <w:rsid w:val="0270686F"/>
    <w:rsid w:val="027619AC"/>
    <w:rsid w:val="02B00990"/>
    <w:rsid w:val="02F96569"/>
    <w:rsid w:val="03101E00"/>
    <w:rsid w:val="03307A30"/>
    <w:rsid w:val="03515496"/>
    <w:rsid w:val="03D35658"/>
    <w:rsid w:val="03E64BB1"/>
    <w:rsid w:val="03EA7B21"/>
    <w:rsid w:val="045521C0"/>
    <w:rsid w:val="050D41AA"/>
    <w:rsid w:val="05270584"/>
    <w:rsid w:val="053E2C54"/>
    <w:rsid w:val="05412745"/>
    <w:rsid w:val="055E32F7"/>
    <w:rsid w:val="05790131"/>
    <w:rsid w:val="05F83EAE"/>
    <w:rsid w:val="062A4D0B"/>
    <w:rsid w:val="063E7D85"/>
    <w:rsid w:val="06412201"/>
    <w:rsid w:val="06514C09"/>
    <w:rsid w:val="065D35AE"/>
    <w:rsid w:val="0665265B"/>
    <w:rsid w:val="067F3B00"/>
    <w:rsid w:val="069645A2"/>
    <w:rsid w:val="069950A3"/>
    <w:rsid w:val="069A035E"/>
    <w:rsid w:val="06DD14B3"/>
    <w:rsid w:val="07043A2A"/>
    <w:rsid w:val="07293586"/>
    <w:rsid w:val="07295285"/>
    <w:rsid w:val="072C6DEE"/>
    <w:rsid w:val="07585B24"/>
    <w:rsid w:val="075A7AEE"/>
    <w:rsid w:val="07636392"/>
    <w:rsid w:val="07770C56"/>
    <w:rsid w:val="079A7F04"/>
    <w:rsid w:val="087A0447"/>
    <w:rsid w:val="08B3636F"/>
    <w:rsid w:val="08D17529"/>
    <w:rsid w:val="091F0FEF"/>
    <w:rsid w:val="092217DD"/>
    <w:rsid w:val="093A7294"/>
    <w:rsid w:val="09511041"/>
    <w:rsid w:val="09547088"/>
    <w:rsid w:val="09AB323C"/>
    <w:rsid w:val="09FE70E7"/>
    <w:rsid w:val="0A0521BD"/>
    <w:rsid w:val="0A263993"/>
    <w:rsid w:val="0A2D3AC2"/>
    <w:rsid w:val="0A7F7BC1"/>
    <w:rsid w:val="0A854312"/>
    <w:rsid w:val="0AA755DF"/>
    <w:rsid w:val="0AE52043"/>
    <w:rsid w:val="0B120D44"/>
    <w:rsid w:val="0B473EB3"/>
    <w:rsid w:val="0B685471"/>
    <w:rsid w:val="0BD27BF6"/>
    <w:rsid w:val="0BF9050C"/>
    <w:rsid w:val="0C1C7A68"/>
    <w:rsid w:val="0C3B3C7D"/>
    <w:rsid w:val="0C5B2FCE"/>
    <w:rsid w:val="0CAB2EAE"/>
    <w:rsid w:val="0CBA1929"/>
    <w:rsid w:val="0CEF014A"/>
    <w:rsid w:val="0CFF0F1B"/>
    <w:rsid w:val="0D621C7D"/>
    <w:rsid w:val="0DA15662"/>
    <w:rsid w:val="0DF75186"/>
    <w:rsid w:val="0E100F06"/>
    <w:rsid w:val="0E73034D"/>
    <w:rsid w:val="0E8D0AA4"/>
    <w:rsid w:val="0E981627"/>
    <w:rsid w:val="0EF10D38"/>
    <w:rsid w:val="0F13775A"/>
    <w:rsid w:val="0F1911E9"/>
    <w:rsid w:val="0F5F45FE"/>
    <w:rsid w:val="0F9A112B"/>
    <w:rsid w:val="10305890"/>
    <w:rsid w:val="106D2F64"/>
    <w:rsid w:val="109F2399"/>
    <w:rsid w:val="10AB5F59"/>
    <w:rsid w:val="10B63710"/>
    <w:rsid w:val="10C26219"/>
    <w:rsid w:val="10F10820"/>
    <w:rsid w:val="111725AC"/>
    <w:rsid w:val="111C2F7A"/>
    <w:rsid w:val="115F642C"/>
    <w:rsid w:val="11665CA1"/>
    <w:rsid w:val="11CA66C9"/>
    <w:rsid w:val="11CC39F0"/>
    <w:rsid w:val="11DF131B"/>
    <w:rsid w:val="11EE5A02"/>
    <w:rsid w:val="12090021"/>
    <w:rsid w:val="12530CCC"/>
    <w:rsid w:val="12555A81"/>
    <w:rsid w:val="12DC78C2"/>
    <w:rsid w:val="12EA441C"/>
    <w:rsid w:val="130B12A4"/>
    <w:rsid w:val="131E37BA"/>
    <w:rsid w:val="13951726"/>
    <w:rsid w:val="13C93792"/>
    <w:rsid w:val="13D61A1C"/>
    <w:rsid w:val="13DB55E2"/>
    <w:rsid w:val="13DE3947"/>
    <w:rsid w:val="14171240"/>
    <w:rsid w:val="14396509"/>
    <w:rsid w:val="147E5C86"/>
    <w:rsid w:val="14B24C42"/>
    <w:rsid w:val="14DD2C3C"/>
    <w:rsid w:val="15976A32"/>
    <w:rsid w:val="15A576CE"/>
    <w:rsid w:val="16087E1D"/>
    <w:rsid w:val="16331C36"/>
    <w:rsid w:val="163C6D3C"/>
    <w:rsid w:val="16417DC8"/>
    <w:rsid w:val="16573B76"/>
    <w:rsid w:val="1674297A"/>
    <w:rsid w:val="169C77DB"/>
    <w:rsid w:val="16A36DBB"/>
    <w:rsid w:val="16A77B8F"/>
    <w:rsid w:val="16BE1E47"/>
    <w:rsid w:val="16BF171B"/>
    <w:rsid w:val="16C3120C"/>
    <w:rsid w:val="16E32640"/>
    <w:rsid w:val="17125E8C"/>
    <w:rsid w:val="172B7F71"/>
    <w:rsid w:val="172C4F17"/>
    <w:rsid w:val="17694646"/>
    <w:rsid w:val="17701D14"/>
    <w:rsid w:val="17735226"/>
    <w:rsid w:val="17A50911"/>
    <w:rsid w:val="17D746C5"/>
    <w:rsid w:val="17EC16E4"/>
    <w:rsid w:val="18194E5B"/>
    <w:rsid w:val="183877B4"/>
    <w:rsid w:val="1858430B"/>
    <w:rsid w:val="189F624C"/>
    <w:rsid w:val="18DF1BFA"/>
    <w:rsid w:val="193E726F"/>
    <w:rsid w:val="19636CD6"/>
    <w:rsid w:val="198A643C"/>
    <w:rsid w:val="19924B37"/>
    <w:rsid w:val="19C3410B"/>
    <w:rsid w:val="19D0048B"/>
    <w:rsid w:val="19FB70ED"/>
    <w:rsid w:val="1A165AF6"/>
    <w:rsid w:val="1A1C66C0"/>
    <w:rsid w:val="1A2E1E8C"/>
    <w:rsid w:val="1A42393B"/>
    <w:rsid w:val="1A4828EF"/>
    <w:rsid w:val="1AA07801"/>
    <w:rsid w:val="1AAD45DE"/>
    <w:rsid w:val="1AB428A4"/>
    <w:rsid w:val="1B046F80"/>
    <w:rsid w:val="1B3267B5"/>
    <w:rsid w:val="1B3E4FE8"/>
    <w:rsid w:val="1B40161D"/>
    <w:rsid w:val="1B441859"/>
    <w:rsid w:val="1B6606B1"/>
    <w:rsid w:val="1B9364A7"/>
    <w:rsid w:val="1BCC6293"/>
    <w:rsid w:val="1BE560E6"/>
    <w:rsid w:val="1BF63E31"/>
    <w:rsid w:val="1C1222ED"/>
    <w:rsid w:val="1C34462C"/>
    <w:rsid w:val="1C3455FB"/>
    <w:rsid w:val="1C56667E"/>
    <w:rsid w:val="1C5E7925"/>
    <w:rsid w:val="1C80233F"/>
    <w:rsid w:val="1C9E4F22"/>
    <w:rsid w:val="1CA34401"/>
    <w:rsid w:val="1CB0119F"/>
    <w:rsid w:val="1CFD070F"/>
    <w:rsid w:val="1D12256B"/>
    <w:rsid w:val="1D5F6196"/>
    <w:rsid w:val="1D6132A5"/>
    <w:rsid w:val="1D733B41"/>
    <w:rsid w:val="1D8E56D5"/>
    <w:rsid w:val="1DE16E52"/>
    <w:rsid w:val="1E0C0F02"/>
    <w:rsid w:val="1E425A7E"/>
    <w:rsid w:val="1E65704C"/>
    <w:rsid w:val="1E7A43DA"/>
    <w:rsid w:val="1E8C6387"/>
    <w:rsid w:val="1E965458"/>
    <w:rsid w:val="1EDE0D41"/>
    <w:rsid w:val="1F252F25"/>
    <w:rsid w:val="1FD47FE6"/>
    <w:rsid w:val="1FD5059D"/>
    <w:rsid w:val="1FE7539E"/>
    <w:rsid w:val="20535F35"/>
    <w:rsid w:val="20671BE0"/>
    <w:rsid w:val="20713A86"/>
    <w:rsid w:val="20963CB8"/>
    <w:rsid w:val="20A81A1B"/>
    <w:rsid w:val="20B07FB6"/>
    <w:rsid w:val="20B646FB"/>
    <w:rsid w:val="20E1165D"/>
    <w:rsid w:val="20F94B3B"/>
    <w:rsid w:val="213B74B1"/>
    <w:rsid w:val="215A2310"/>
    <w:rsid w:val="21DE318A"/>
    <w:rsid w:val="21EF5B80"/>
    <w:rsid w:val="21F410B3"/>
    <w:rsid w:val="22243E1A"/>
    <w:rsid w:val="22576990"/>
    <w:rsid w:val="22E74B9C"/>
    <w:rsid w:val="22F4274D"/>
    <w:rsid w:val="22F47480"/>
    <w:rsid w:val="23031072"/>
    <w:rsid w:val="23092142"/>
    <w:rsid w:val="230A034F"/>
    <w:rsid w:val="23373DAC"/>
    <w:rsid w:val="23697BFC"/>
    <w:rsid w:val="23DE1C48"/>
    <w:rsid w:val="23F35D8A"/>
    <w:rsid w:val="240210CD"/>
    <w:rsid w:val="24351309"/>
    <w:rsid w:val="24A257C2"/>
    <w:rsid w:val="24BF09F7"/>
    <w:rsid w:val="24D30239"/>
    <w:rsid w:val="25137649"/>
    <w:rsid w:val="252D53FE"/>
    <w:rsid w:val="255A14E8"/>
    <w:rsid w:val="25C17ECE"/>
    <w:rsid w:val="25CA0AB1"/>
    <w:rsid w:val="25EC2D81"/>
    <w:rsid w:val="25F949C9"/>
    <w:rsid w:val="26360AF3"/>
    <w:rsid w:val="26431EF9"/>
    <w:rsid w:val="268A6095"/>
    <w:rsid w:val="26956DF8"/>
    <w:rsid w:val="26A85D28"/>
    <w:rsid w:val="26B4288E"/>
    <w:rsid w:val="271D04C4"/>
    <w:rsid w:val="27333AA5"/>
    <w:rsid w:val="27475541"/>
    <w:rsid w:val="27483067"/>
    <w:rsid w:val="277057A2"/>
    <w:rsid w:val="27F27F2D"/>
    <w:rsid w:val="285C6DCA"/>
    <w:rsid w:val="28742AC6"/>
    <w:rsid w:val="28927979"/>
    <w:rsid w:val="28A075FF"/>
    <w:rsid w:val="28D12B8C"/>
    <w:rsid w:val="29206EB8"/>
    <w:rsid w:val="29595666"/>
    <w:rsid w:val="29874881"/>
    <w:rsid w:val="299078B2"/>
    <w:rsid w:val="29E325E0"/>
    <w:rsid w:val="29F169D3"/>
    <w:rsid w:val="2A1320B0"/>
    <w:rsid w:val="2A1B05EA"/>
    <w:rsid w:val="2A452503"/>
    <w:rsid w:val="2A864918"/>
    <w:rsid w:val="2AED1F85"/>
    <w:rsid w:val="2B6827B2"/>
    <w:rsid w:val="2B6A3EF4"/>
    <w:rsid w:val="2B8C79C6"/>
    <w:rsid w:val="2B981954"/>
    <w:rsid w:val="2BA936A8"/>
    <w:rsid w:val="2BB772D0"/>
    <w:rsid w:val="2BF22037"/>
    <w:rsid w:val="2BF743CE"/>
    <w:rsid w:val="2C146D7D"/>
    <w:rsid w:val="2C1D0CFD"/>
    <w:rsid w:val="2C2A0B32"/>
    <w:rsid w:val="2C315A5A"/>
    <w:rsid w:val="2C32277E"/>
    <w:rsid w:val="2C4B1C25"/>
    <w:rsid w:val="2C5F5EA8"/>
    <w:rsid w:val="2C62084F"/>
    <w:rsid w:val="2CA70830"/>
    <w:rsid w:val="2D0016E3"/>
    <w:rsid w:val="2D04296A"/>
    <w:rsid w:val="2D372553"/>
    <w:rsid w:val="2D9E56F5"/>
    <w:rsid w:val="2DA27DAE"/>
    <w:rsid w:val="2DC4490F"/>
    <w:rsid w:val="2DDE502F"/>
    <w:rsid w:val="2E19379E"/>
    <w:rsid w:val="2E231C4F"/>
    <w:rsid w:val="2E532A1D"/>
    <w:rsid w:val="2E667F96"/>
    <w:rsid w:val="2E717347"/>
    <w:rsid w:val="2E7A4CAA"/>
    <w:rsid w:val="2E8226AB"/>
    <w:rsid w:val="2EB3170E"/>
    <w:rsid w:val="2ED70F16"/>
    <w:rsid w:val="2F2D3BAE"/>
    <w:rsid w:val="2F65648D"/>
    <w:rsid w:val="2F77098D"/>
    <w:rsid w:val="2F9226A1"/>
    <w:rsid w:val="2FCC16BD"/>
    <w:rsid w:val="2FD065E6"/>
    <w:rsid w:val="2FD96870"/>
    <w:rsid w:val="2FE778C1"/>
    <w:rsid w:val="2FF41FDE"/>
    <w:rsid w:val="2FF561C6"/>
    <w:rsid w:val="30247C3F"/>
    <w:rsid w:val="30450A8C"/>
    <w:rsid w:val="30580BC9"/>
    <w:rsid w:val="30980BBB"/>
    <w:rsid w:val="30AC4626"/>
    <w:rsid w:val="30CD2F5B"/>
    <w:rsid w:val="30E23757"/>
    <w:rsid w:val="311E2ED7"/>
    <w:rsid w:val="31343420"/>
    <w:rsid w:val="315619EE"/>
    <w:rsid w:val="315C449C"/>
    <w:rsid w:val="315F482D"/>
    <w:rsid w:val="315F7129"/>
    <w:rsid w:val="31880C30"/>
    <w:rsid w:val="3192315D"/>
    <w:rsid w:val="31B82709"/>
    <w:rsid w:val="31C913AE"/>
    <w:rsid w:val="31D05482"/>
    <w:rsid w:val="31E90105"/>
    <w:rsid w:val="31EB421E"/>
    <w:rsid w:val="31F735ED"/>
    <w:rsid w:val="32201157"/>
    <w:rsid w:val="32400B34"/>
    <w:rsid w:val="324D54CA"/>
    <w:rsid w:val="327522A7"/>
    <w:rsid w:val="329E6876"/>
    <w:rsid w:val="32BA12BD"/>
    <w:rsid w:val="32BD0BEB"/>
    <w:rsid w:val="32D335EF"/>
    <w:rsid w:val="32DE70FC"/>
    <w:rsid w:val="32F03818"/>
    <w:rsid w:val="33100082"/>
    <w:rsid w:val="33154745"/>
    <w:rsid w:val="333015F2"/>
    <w:rsid w:val="33326DEC"/>
    <w:rsid w:val="33411CAD"/>
    <w:rsid w:val="334B6320"/>
    <w:rsid w:val="33D343FB"/>
    <w:rsid w:val="33D934D4"/>
    <w:rsid w:val="33DA2A5B"/>
    <w:rsid w:val="33EB3DEC"/>
    <w:rsid w:val="33FE2F6A"/>
    <w:rsid w:val="340E07E5"/>
    <w:rsid w:val="341978A0"/>
    <w:rsid w:val="34235BF7"/>
    <w:rsid w:val="34385284"/>
    <w:rsid w:val="343A538C"/>
    <w:rsid w:val="34577ECA"/>
    <w:rsid w:val="345B262C"/>
    <w:rsid w:val="34C322DC"/>
    <w:rsid w:val="34C46423"/>
    <w:rsid w:val="351F3659"/>
    <w:rsid w:val="352B46F4"/>
    <w:rsid w:val="356A4437"/>
    <w:rsid w:val="3578289A"/>
    <w:rsid w:val="358C5FA8"/>
    <w:rsid w:val="35C13290"/>
    <w:rsid w:val="35C15DF1"/>
    <w:rsid w:val="36074A7F"/>
    <w:rsid w:val="36284148"/>
    <w:rsid w:val="36317AE8"/>
    <w:rsid w:val="363D0B94"/>
    <w:rsid w:val="36441525"/>
    <w:rsid w:val="36923549"/>
    <w:rsid w:val="36B75FBF"/>
    <w:rsid w:val="36BD0C45"/>
    <w:rsid w:val="36E90E00"/>
    <w:rsid w:val="37223D45"/>
    <w:rsid w:val="37307DA0"/>
    <w:rsid w:val="37D150FC"/>
    <w:rsid w:val="37DC0CC4"/>
    <w:rsid w:val="37E00298"/>
    <w:rsid w:val="37F529F7"/>
    <w:rsid w:val="380822CB"/>
    <w:rsid w:val="382947EF"/>
    <w:rsid w:val="383E029A"/>
    <w:rsid w:val="387E4E99"/>
    <w:rsid w:val="38936652"/>
    <w:rsid w:val="38B302F9"/>
    <w:rsid w:val="38C17F8F"/>
    <w:rsid w:val="38F12CD3"/>
    <w:rsid w:val="38F94775"/>
    <w:rsid w:val="392971ED"/>
    <w:rsid w:val="39325651"/>
    <w:rsid w:val="399565E0"/>
    <w:rsid w:val="39C130A9"/>
    <w:rsid w:val="39DC7D6B"/>
    <w:rsid w:val="39EB688A"/>
    <w:rsid w:val="3A0D43C8"/>
    <w:rsid w:val="3A1015E5"/>
    <w:rsid w:val="3A424723"/>
    <w:rsid w:val="3A79429C"/>
    <w:rsid w:val="3A872856"/>
    <w:rsid w:val="3A9E3272"/>
    <w:rsid w:val="3ABE3914"/>
    <w:rsid w:val="3B0218CC"/>
    <w:rsid w:val="3B034E30"/>
    <w:rsid w:val="3B0E5C93"/>
    <w:rsid w:val="3B2A6FB3"/>
    <w:rsid w:val="3B3763D1"/>
    <w:rsid w:val="3B7D732B"/>
    <w:rsid w:val="3C2F6E1E"/>
    <w:rsid w:val="3C4F64BA"/>
    <w:rsid w:val="3C5C1637"/>
    <w:rsid w:val="3C743F78"/>
    <w:rsid w:val="3C9127EF"/>
    <w:rsid w:val="3CDA245A"/>
    <w:rsid w:val="3CF26367"/>
    <w:rsid w:val="3D1E06B7"/>
    <w:rsid w:val="3D4520CB"/>
    <w:rsid w:val="3E3E1250"/>
    <w:rsid w:val="3E9D1FEE"/>
    <w:rsid w:val="3EA11D3C"/>
    <w:rsid w:val="3EAB206A"/>
    <w:rsid w:val="3EBC63BD"/>
    <w:rsid w:val="3EDA0523"/>
    <w:rsid w:val="3F243514"/>
    <w:rsid w:val="3F2A4744"/>
    <w:rsid w:val="3F8C3162"/>
    <w:rsid w:val="3FE8335F"/>
    <w:rsid w:val="3FEB2762"/>
    <w:rsid w:val="402D5DC0"/>
    <w:rsid w:val="40330901"/>
    <w:rsid w:val="404A660A"/>
    <w:rsid w:val="407A6407"/>
    <w:rsid w:val="40C060AC"/>
    <w:rsid w:val="41AA6FCD"/>
    <w:rsid w:val="4200449D"/>
    <w:rsid w:val="423A3BCC"/>
    <w:rsid w:val="42426E4F"/>
    <w:rsid w:val="424E57D2"/>
    <w:rsid w:val="42B26C49"/>
    <w:rsid w:val="42D17B5E"/>
    <w:rsid w:val="430F3DB1"/>
    <w:rsid w:val="431B3374"/>
    <w:rsid w:val="431E3895"/>
    <w:rsid w:val="432E3775"/>
    <w:rsid w:val="433A6FE6"/>
    <w:rsid w:val="43480868"/>
    <w:rsid w:val="434C40E3"/>
    <w:rsid w:val="4350713C"/>
    <w:rsid w:val="436653E0"/>
    <w:rsid w:val="43934349"/>
    <w:rsid w:val="43C4431A"/>
    <w:rsid w:val="44190B72"/>
    <w:rsid w:val="44610D80"/>
    <w:rsid w:val="44813AB9"/>
    <w:rsid w:val="44B951CC"/>
    <w:rsid w:val="44CD14E0"/>
    <w:rsid w:val="44F05012"/>
    <w:rsid w:val="44F20B0B"/>
    <w:rsid w:val="452C5D03"/>
    <w:rsid w:val="452E5F4C"/>
    <w:rsid w:val="45612018"/>
    <w:rsid w:val="458946E9"/>
    <w:rsid w:val="45A47C0E"/>
    <w:rsid w:val="46001285"/>
    <w:rsid w:val="46577FD6"/>
    <w:rsid w:val="466F5DB0"/>
    <w:rsid w:val="467776D5"/>
    <w:rsid w:val="46C774E3"/>
    <w:rsid w:val="46D955A7"/>
    <w:rsid w:val="47022550"/>
    <w:rsid w:val="47133957"/>
    <w:rsid w:val="47795092"/>
    <w:rsid w:val="478F529E"/>
    <w:rsid w:val="47A07E0C"/>
    <w:rsid w:val="482A4397"/>
    <w:rsid w:val="4870272E"/>
    <w:rsid w:val="48A3140C"/>
    <w:rsid w:val="48E676FD"/>
    <w:rsid w:val="48E93C7B"/>
    <w:rsid w:val="490B41C9"/>
    <w:rsid w:val="490C1A30"/>
    <w:rsid w:val="495779A4"/>
    <w:rsid w:val="49851C32"/>
    <w:rsid w:val="4986778E"/>
    <w:rsid w:val="49B02C7D"/>
    <w:rsid w:val="49DC7715"/>
    <w:rsid w:val="4A023139"/>
    <w:rsid w:val="4A315EB1"/>
    <w:rsid w:val="4A682DC4"/>
    <w:rsid w:val="4A7B576F"/>
    <w:rsid w:val="4A7F1931"/>
    <w:rsid w:val="4A9326C8"/>
    <w:rsid w:val="4AF561A9"/>
    <w:rsid w:val="4B190FF4"/>
    <w:rsid w:val="4B246B6D"/>
    <w:rsid w:val="4B630744"/>
    <w:rsid w:val="4BA01398"/>
    <w:rsid w:val="4BB217DF"/>
    <w:rsid w:val="4BD273D0"/>
    <w:rsid w:val="4BDE0746"/>
    <w:rsid w:val="4BEB7FAE"/>
    <w:rsid w:val="4BF123B6"/>
    <w:rsid w:val="4C3053B7"/>
    <w:rsid w:val="4C4A0649"/>
    <w:rsid w:val="4C7E5ECA"/>
    <w:rsid w:val="4C876AA5"/>
    <w:rsid w:val="4D096E2A"/>
    <w:rsid w:val="4D0E00FB"/>
    <w:rsid w:val="4D176606"/>
    <w:rsid w:val="4D23010D"/>
    <w:rsid w:val="4D3974F3"/>
    <w:rsid w:val="4D4952CA"/>
    <w:rsid w:val="4D782536"/>
    <w:rsid w:val="4D8C33FE"/>
    <w:rsid w:val="4DAE7818"/>
    <w:rsid w:val="4DAF6D0A"/>
    <w:rsid w:val="4DEC4FB0"/>
    <w:rsid w:val="4E075D8A"/>
    <w:rsid w:val="4E123109"/>
    <w:rsid w:val="4E7E543D"/>
    <w:rsid w:val="4E8C5DAC"/>
    <w:rsid w:val="4E9133C2"/>
    <w:rsid w:val="4E942D61"/>
    <w:rsid w:val="4EC00FAD"/>
    <w:rsid w:val="4EC866B8"/>
    <w:rsid w:val="4EE14B55"/>
    <w:rsid w:val="4EF12645"/>
    <w:rsid w:val="4F027E1C"/>
    <w:rsid w:val="4F0E4A13"/>
    <w:rsid w:val="4F2A78BD"/>
    <w:rsid w:val="4F422591"/>
    <w:rsid w:val="4F9843DC"/>
    <w:rsid w:val="4FC62A8C"/>
    <w:rsid w:val="4FE20F0D"/>
    <w:rsid w:val="4FE51552"/>
    <w:rsid w:val="50504C4B"/>
    <w:rsid w:val="505A5A36"/>
    <w:rsid w:val="507A2B8E"/>
    <w:rsid w:val="50975567"/>
    <w:rsid w:val="509C6E7C"/>
    <w:rsid w:val="50A8178D"/>
    <w:rsid w:val="5162104E"/>
    <w:rsid w:val="51744061"/>
    <w:rsid w:val="518014CC"/>
    <w:rsid w:val="51B414B4"/>
    <w:rsid w:val="51F76C2F"/>
    <w:rsid w:val="52096211"/>
    <w:rsid w:val="522B1A1A"/>
    <w:rsid w:val="524B7D2C"/>
    <w:rsid w:val="524F45E3"/>
    <w:rsid w:val="528D20F2"/>
    <w:rsid w:val="52B23702"/>
    <w:rsid w:val="52BE22AC"/>
    <w:rsid w:val="530E74D5"/>
    <w:rsid w:val="53A039CC"/>
    <w:rsid w:val="53A1505A"/>
    <w:rsid w:val="53AC0356"/>
    <w:rsid w:val="53F32429"/>
    <w:rsid w:val="53F76C5E"/>
    <w:rsid w:val="54063E08"/>
    <w:rsid w:val="543437E8"/>
    <w:rsid w:val="547C41CC"/>
    <w:rsid w:val="54AD234F"/>
    <w:rsid w:val="54F73313"/>
    <w:rsid w:val="54F80955"/>
    <w:rsid w:val="553A12D0"/>
    <w:rsid w:val="555170A7"/>
    <w:rsid w:val="555D21A8"/>
    <w:rsid w:val="5587536D"/>
    <w:rsid w:val="559647B2"/>
    <w:rsid w:val="5598445C"/>
    <w:rsid w:val="559B174B"/>
    <w:rsid w:val="55A25EB5"/>
    <w:rsid w:val="55CE0CF4"/>
    <w:rsid w:val="56146C9F"/>
    <w:rsid w:val="5616072B"/>
    <w:rsid w:val="56323497"/>
    <w:rsid w:val="56727104"/>
    <w:rsid w:val="56B22A9C"/>
    <w:rsid w:val="56DC3BDD"/>
    <w:rsid w:val="56DC73C0"/>
    <w:rsid w:val="5721105B"/>
    <w:rsid w:val="57554335"/>
    <w:rsid w:val="576B32B2"/>
    <w:rsid w:val="57B72A76"/>
    <w:rsid w:val="57C3426C"/>
    <w:rsid w:val="57CE1F93"/>
    <w:rsid w:val="57D16546"/>
    <w:rsid w:val="57E75E01"/>
    <w:rsid w:val="584414A5"/>
    <w:rsid w:val="588743D1"/>
    <w:rsid w:val="5887701A"/>
    <w:rsid w:val="58911FCC"/>
    <w:rsid w:val="58965311"/>
    <w:rsid w:val="59876967"/>
    <w:rsid w:val="598D29D8"/>
    <w:rsid w:val="59C0439F"/>
    <w:rsid w:val="59FE7432"/>
    <w:rsid w:val="5A0F163F"/>
    <w:rsid w:val="5A117165"/>
    <w:rsid w:val="5A283BF6"/>
    <w:rsid w:val="5A593000"/>
    <w:rsid w:val="5A853184"/>
    <w:rsid w:val="5A867B53"/>
    <w:rsid w:val="5ABE2233"/>
    <w:rsid w:val="5B1038C0"/>
    <w:rsid w:val="5B2C0A54"/>
    <w:rsid w:val="5B557525"/>
    <w:rsid w:val="5B715EBD"/>
    <w:rsid w:val="5BCB43F2"/>
    <w:rsid w:val="5BDF5D95"/>
    <w:rsid w:val="5BFE7528"/>
    <w:rsid w:val="5CDA13AA"/>
    <w:rsid w:val="5CEC328A"/>
    <w:rsid w:val="5CF60B02"/>
    <w:rsid w:val="5CF82FF0"/>
    <w:rsid w:val="5D1B1418"/>
    <w:rsid w:val="5D3F66DF"/>
    <w:rsid w:val="5D57462E"/>
    <w:rsid w:val="5E2467F1"/>
    <w:rsid w:val="5E39664F"/>
    <w:rsid w:val="5E3C4148"/>
    <w:rsid w:val="5E4656D1"/>
    <w:rsid w:val="5E4D0F80"/>
    <w:rsid w:val="5E4F1CA4"/>
    <w:rsid w:val="5E5B640B"/>
    <w:rsid w:val="5E6F7BD0"/>
    <w:rsid w:val="5EB6652D"/>
    <w:rsid w:val="5EBA367D"/>
    <w:rsid w:val="5EC827B8"/>
    <w:rsid w:val="5EF05EE3"/>
    <w:rsid w:val="5EFA28BD"/>
    <w:rsid w:val="5F1A2B43"/>
    <w:rsid w:val="5F1D1446"/>
    <w:rsid w:val="5F260144"/>
    <w:rsid w:val="5F5D2E4C"/>
    <w:rsid w:val="5F813A91"/>
    <w:rsid w:val="5FB837BB"/>
    <w:rsid w:val="5FC2494B"/>
    <w:rsid w:val="6000599C"/>
    <w:rsid w:val="60305D90"/>
    <w:rsid w:val="60C97026"/>
    <w:rsid w:val="60CC405A"/>
    <w:rsid w:val="60F82E2D"/>
    <w:rsid w:val="614147D4"/>
    <w:rsid w:val="61C6283F"/>
    <w:rsid w:val="61E215D8"/>
    <w:rsid w:val="62052E32"/>
    <w:rsid w:val="621B3775"/>
    <w:rsid w:val="62364782"/>
    <w:rsid w:val="626B1E98"/>
    <w:rsid w:val="628726BA"/>
    <w:rsid w:val="62A139A7"/>
    <w:rsid w:val="62A47439"/>
    <w:rsid w:val="62DC3BDD"/>
    <w:rsid w:val="63866A4D"/>
    <w:rsid w:val="6394356A"/>
    <w:rsid w:val="63950E07"/>
    <w:rsid w:val="639637CE"/>
    <w:rsid w:val="63C61B2C"/>
    <w:rsid w:val="63D40BE9"/>
    <w:rsid w:val="64041AE8"/>
    <w:rsid w:val="64102431"/>
    <w:rsid w:val="64520AA6"/>
    <w:rsid w:val="64A5243A"/>
    <w:rsid w:val="64EA33D4"/>
    <w:rsid w:val="64EF09EB"/>
    <w:rsid w:val="64F531DE"/>
    <w:rsid w:val="64F61D79"/>
    <w:rsid w:val="65373578"/>
    <w:rsid w:val="6661383C"/>
    <w:rsid w:val="66C24FFA"/>
    <w:rsid w:val="671F124A"/>
    <w:rsid w:val="672C7CD4"/>
    <w:rsid w:val="674D3382"/>
    <w:rsid w:val="676D5D73"/>
    <w:rsid w:val="677A33C6"/>
    <w:rsid w:val="677D6B19"/>
    <w:rsid w:val="681F6961"/>
    <w:rsid w:val="68486B6A"/>
    <w:rsid w:val="68610A2F"/>
    <w:rsid w:val="68664B20"/>
    <w:rsid w:val="68805514"/>
    <w:rsid w:val="689516D3"/>
    <w:rsid w:val="689A0C6D"/>
    <w:rsid w:val="68FF0745"/>
    <w:rsid w:val="69112CDD"/>
    <w:rsid w:val="691F52C5"/>
    <w:rsid w:val="69316E2F"/>
    <w:rsid w:val="694766FF"/>
    <w:rsid w:val="694E2071"/>
    <w:rsid w:val="69766163"/>
    <w:rsid w:val="697A3B33"/>
    <w:rsid w:val="69D44760"/>
    <w:rsid w:val="6A172E75"/>
    <w:rsid w:val="6A520EC7"/>
    <w:rsid w:val="6A793230"/>
    <w:rsid w:val="6A7B6B40"/>
    <w:rsid w:val="6ABA36B3"/>
    <w:rsid w:val="6AF87E20"/>
    <w:rsid w:val="6B322639"/>
    <w:rsid w:val="6B61644D"/>
    <w:rsid w:val="6B6317EA"/>
    <w:rsid w:val="6B675A4B"/>
    <w:rsid w:val="6B7669D6"/>
    <w:rsid w:val="6BAA3F28"/>
    <w:rsid w:val="6BFE5BDA"/>
    <w:rsid w:val="6C0D4EA2"/>
    <w:rsid w:val="6C5E02BD"/>
    <w:rsid w:val="6C636C38"/>
    <w:rsid w:val="6C690778"/>
    <w:rsid w:val="6CA6433C"/>
    <w:rsid w:val="6CE81FA7"/>
    <w:rsid w:val="6CFD428E"/>
    <w:rsid w:val="6D156B14"/>
    <w:rsid w:val="6D5745CC"/>
    <w:rsid w:val="6D57712D"/>
    <w:rsid w:val="6DB34098"/>
    <w:rsid w:val="6DB35E32"/>
    <w:rsid w:val="6DB545B6"/>
    <w:rsid w:val="6DE02FB4"/>
    <w:rsid w:val="6DED23F2"/>
    <w:rsid w:val="6DFE0CAC"/>
    <w:rsid w:val="6E315BD0"/>
    <w:rsid w:val="6E514CED"/>
    <w:rsid w:val="6EA939B8"/>
    <w:rsid w:val="6EB563D5"/>
    <w:rsid w:val="6EC00E59"/>
    <w:rsid w:val="6ED92677"/>
    <w:rsid w:val="6EFA5425"/>
    <w:rsid w:val="6F225983"/>
    <w:rsid w:val="6F2F0361"/>
    <w:rsid w:val="6FB5610A"/>
    <w:rsid w:val="6FFC5590"/>
    <w:rsid w:val="7000249B"/>
    <w:rsid w:val="70203B60"/>
    <w:rsid w:val="70531E2E"/>
    <w:rsid w:val="70650B23"/>
    <w:rsid w:val="706D1DD0"/>
    <w:rsid w:val="707652B2"/>
    <w:rsid w:val="70856B87"/>
    <w:rsid w:val="709A7E57"/>
    <w:rsid w:val="70D527EE"/>
    <w:rsid w:val="70FA3024"/>
    <w:rsid w:val="71015D2D"/>
    <w:rsid w:val="710F044A"/>
    <w:rsid w:val="711710AD"/>
    <w:rsid w:val="713D2802"/>
    <w:rsid w:val="71495716"/>
    <w:rsid w:val="714B7319"/>
    <w:rsid w:val="715B5300"/>
    <w:rsid w:val="718D5646"/>
    <w:rsid w:val="71C94924"/>
    <w:rsid w:val="71CE6A34"/>
    <w:rsid w:val="71D27F8A"/>
    <w:rsid w:val="71E040E8"/>
    <w:rsid w:val="721C048F"/>
    <w:rsid w:val="72553024"/>
    <w:rsid w:val="72A93705"/>
    <w:rsid w:val="72E521F4"/>
    <w:rsid w:val="73122968"/>
    <w:rsid w:val="73151525"/>
    <w:rsid w:val="731A4E85"/>
    <w:rsid w:val="731F5D5E"/>
    <w:rsid w:val="73C51AD5"/>
    <w:rsid w:val="73F96C18"/>
    <w:rsid w:val="741E793C"/>
    <w:rsid w:val="742F4DE6"/>
    <w:rsid w:val="7431692A"/>
    <w:rsid w:val="745D14CD"/>
    <w:rsid w:val="745E3944"/>
    <w:rsid w:val="74884070"/>
    <w:rsid w:val="74B84955"/>
    <w:rsid w:val="74D20414"/>
    <w:rsid w:val="7514770C"/>
    <w:rsid w:val="751D5DE6"/>
    <w:rsid w:val="75297601"/>
    <w:rsid w:val="75660476"/>
    <w:rsid w:val="7568637B"/>
    <w:rsid w:val="75F95BE9"/>
    <w:rsid w:val="75F95E12"/>
    <w:rsid w:val="760140DA"/>
    <w:rsid w:val="7635099D"/>
    <w:rsid w:val="766723EF"/>
    <w:rsid w:val="76A07D97"/>
    <w:rsid w:val="76A5328C"/>
    <w:rsid w:val="76DF11DD"/>
    <w:rsid w:val="76E732D0"/>
    <w:rsid w:val="771161F5"/>
    <w:rsid w:val="776511D7"/>
    <w:rsid w:val="77762421"/>
    <w:rsid w:val="777803CC"/>
    <w:rsid w:val="77B56B1F"/>
    <w:rsid w:val="77DB1A01"/>
    <w:rsid w:val="77EA106D"/>
    <w:rsid w:val="77F92EE3"/>
    <w:rsid w:val="780F09F4"/>
    <w:rsid w:val="783D161B"/>
    <w:rsid w:val="7844752F"/>
    <w:rsid w:val="788A6608"/>
    <w:rsid w:val="78A90480"/>
    <w:rsid w:val="795D26FB"/>
    <w:rsid w:val="79703A50"/>
    <w:rsid w:val="797D676F"/>
    <w:rsid w:val="79A178F5"/>
    <w:rsid w:val="79C86DE6"/>
    <w:rsid w:val="79D75F9C"/>
    <w:rsid w:val="7A364017"/>
    <w:rsid w:val="7A3768C8"/>
    <w:rsid w:val="7A7255A6"/>
    <w:rsid w:val="7A73384A"/>
    <w:rsid w:val="7A812449"/>
    <w:rsid w:val="7A8265E1"/>
    <w:rsid w:val="7A851FF7"/>
    <w:rsid w:val="7A8F43AA"/>
    <w:rsid w:val="7ABA409D"/>
    <w:rsid w:val="7AEA338E"/>
    <w:rsid w:val="7AFB559C"/>
    <w:rsid w:val="7B510A67"/>
    <w:rsid w:val="7B686D42"/>
    <w:rsid w:val="7B841746"/>
    <w:rsid w:val="7BA06143"/>
    <w:rsid w:val="7BE85617"/>
    <w:rsid w:val="7BF35063"/>
    <w:rsid w:val="7BF71DDF"/>
    <w:rsid w:val="7BF97117"/>
    <w:rsid w:val="7C136915"/>
    <w:rsid w:val="7C2F739A"/>
    <w:rsid w:val="7C46070E"/>
    <w:rsid w:val="7C6C5AC7"/>
    <w:rsid w:val="7C972A58"/>
    <w:rsid w:val="7CC6544B"/>
    <w:rsid w:val="7CCD43AA"/>
    <w:rsid w:val="7D0239FF"/>
    <w:rsid w:val="7D2D0902"/>
    <w:rsid w:val="7D5E40CD"/>
    <w:rsid w:val="7D7B0071"/>
    <w:rsid w:val="7D833F63"/>
    <w:rsid w:val="7DCD56F2"/>
    <w:rsid w:val="7DD30A52"/>
    <w:rsid w:val="7E2A6926"/>
    <w:rsid w:val="7E8646E1"/>
    <w:rsid w:val="7EF42A2E"/>
    <w:rsid w:val="7F001CE7"/>
    <w:rsid w:val="7F71407E"/>
    <w:rsid w:val="7F8A15ED"/>
    <w:rsid w:val="7F9358F9"/>
    <w:rsid w:val="7F9E0057"/>
    <w:rsid w:val="7FA06711"/>
    <w:rsid w:val="7FAF2DF8"/>
    <w:rsid w:val="7FDB459E"/>
    <w:rsid w:val="7FE47E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nhideWhenUsed="0" w:uiPriority="0" w:semiHidden="0" w:name="heading 2" w:locked="1"/>
    <w:lsdException w:qFormat="1" w:unhideWhenUsed="0" w:uiPriority="0" w:semiHidden="0" w:name="heading 3" w:locked="1"/>
    <w:lsdException w:qFormat="1" w:unhideWhenUsed="0" w:uiPriority="0" w:semiHidden="0" w:name="heading 4" w:locked="1"/>
    <w:lsdException w:qFormat="1" w:unhideWhenUsed="0" w:uiPriority="0" w:semiHidden="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nhideWhenUsed="0" w:uiPriority="0" w:semiHidden="0" w:name="index 1" w:locked="1"/>
    <w:lsdException w:unhideWhenUsed="0" w:uiPriority="0" w:semiHidden="0" w:name="index 2" w:locked="1"/>
    <w:lsdException w:unhideWhenUsed="0" w:uiPriority="0" w:semiHidden="0" w:name="index 3" w:locked="1"/>
    <w:lsdException w:unhideWhenUsed="0" w:uiPriority="0" w:semiHidden="0" w:name="index 4" w:locked="1"/>
    <w:lsdException w:unhideWhenUsed="0" w:uiPriority="0" w:semiHidden="0" w:name="index 5" w:locked="1"/>
    <w:lsdException w:unhideWhenUsed="0" w:uiPriority="0" w:semiHidden="0" w:name="index 6" w:locked="1"/>
    <w:lsdException w:unhideWhenUsed="0" w:uiPriority="0" w:semiHidden="0" w:name="index 7" w:locked="1"/>
    <w:lsdException w:unhideWhenUsed="0" w:uiPriority="0" w:semiHidden="0" w:name="index 8" w:locked="1"/>
    <w:lsdException w:unhideWhenUsed="0" w:uiPriority="0" w:semiHidden="0" w:name="index 9" w:locked="1"/>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qFormat="1" w:unhideWhenUsed="0" w:uiPriority="0" w:semiHidden="0" w:name="Normal Indent" w:locked="1"/>
    <w:lsdException w:unhideWhenUsed="0" w:uiPriority="0" w:semiHidden="0" w:name="footnote text" w:locked="1"/>
    <w:lsdException w:qFormat="1" w:unhideWhenUsed="0" w:uiPriority="0" w:name="annotation text"/>
    <w:lsdException w:qFormat="1" w:unhideWhenUsed="0" w:uiPriority="0" w:semiHidden="0" w:name="header"/>
    <w:lsdException w:qFormat="1" w:unhideWhenUsed="0" w:uiPriority="99" w:semiHidden="0" w:name="footer"/>
    <w:lsdException w:unhideWhenUsed="0" w:uiPriority="0" w:semiHidden="0" w:name="index heading" w:locked="1"/>
    <w:lsdException w:qFormat="1" w:uiPriority="0" w:name="caption" w:locked="1"/>
    <w:lsdException w:unhideWhenUsed="0" w:uiPriority="0" w:semiHidden="0" w:name="table of figures" w:locked="1"/>
    <w:lsdException w:unhideWhenUsed="0" w:uiPriority="0" w:semiHidden="0" w:name="envelope address" w:locked="1"/>
    <w:lsdException w:unhideWhenUsed="0" w:uiPriority="0" w:semiHidden="0" w:name="envelope return" w:locked="1"/>
    <w:lsdException w:unhideWhenUsed="0" w:uiPriority="0" w:semiHidden="0" w:name="footnote reference" w:locked="1"/>
    <w:lsdException w:qFormat="1" w:unhideWhenUsed="0" w:uiPriority="0" w:name="annotation reference"/>
    <w:lsdException w:unhideWhenUsed="0" w:uiPriority="0" w:semiHidden="0" w:name="line number" w:locked="1"/>
    <w:lsdException w:qFormat="1" w:unhideWhenUsed="0" w:uiPriority="0" w:semiHidden="0" w:name="page number" w:locked="1"/>
    <w:lsdException w:unhideWhenUsed="0" w:uiPriority="0" w:semiHidden="0" w:name="endnote reference" w:locked="1"/>
    <w:lsdException w:unhideWhenUsed="0" w:uiPriority="0" w:semiHidden="0" w:name="endnote text" w:locked="1"/>
    <w:lsdException w:unhideWhenUsed="0" w:uiPriority="0" w:semiHidden="0" w:name="table of authorities" w:locked="1"/>
    <w:lsdException w:unhideWhenUsed="0" w:uiPriority="0" w:semiHidden="0" w:name="macro" w:locked="1"/>
    <w:lsdException w:qFormat="1" w:unhideWhenUsed="0" w:uiPriority="0" w:semiHidden="0" w:name="toa heading" w:locked="1"/>
    <w:lsdException w:qFormat="1" w:unhideWhenUsed="0" w:uiPriority="0" w:semiHidden="0" w:name="List" w:locked="1"/>
    <w:lsdException w:unhideWhenUsed="0" w:uiPriority="0" w:semiHidden="0" w:name="List Bullet" w:locked="1"/>
    <w:lsdException w:unhideWhenUsed="0" w:uiPriority="0" w:semiHidden="0" w:name="List Number" w:locked="1"/>
    <w:lsdException w:qFormat="1" w:unhideWhenUsed="0" w:uiPriority="0" w:semiHidden="0" w:name="List 2" w:locked="1"/>
    <w:lsdException w:unhideWhenUsed="0" w:uiPriority="0" w:semiHidden="0" w:name="List 3" w:locked="1"/>
    <w:lsdException w:unhideWhenUsed="0" w:uiPriority="0" w:semiHidden="0" w:name="List 4" w:locked="1"/>
    <w:lsdException w:unhideWhenUsed="0" w:uiPriority="0" w:semiHidden="0" w:name="List 5" w:locked="1"/>
    <w:lsdException w:unhideWhenUsed="0" w:uiPriority="0" w:semiHidden="0" w:name="List Bullet 2" w:locked="1"/>
    <w:lsdException w:unhideWhenUsed="0" w:uiPriority="0" w:semiHidden="0" w:name="List Bullet 3" w:locked="1"/>
    <w:lsdException w:unhideWhenUsed="0" w:uiPriority="0" w:semiHidden="0" w:name="List Bullet 4" w:locked="1"/>
    <w:lsdException w:unhideWhenUsed="0" w:uiPriority="0" w:semiHidden="0" w:name="List Bullet 5" w:locked="1"/>
    <w:lsdException w:unhideWhenUsed="0" w:uiPriority="0" w:semiHidden="0" w:name="List Number 2" w:locked="1"/>
    <w:lsdException w:unhideWhenUsed="0" w:uiPriority="0" w:semiHidden="0" w:name="List Number 3" w:locked="1"/>
    <w:lsdException w:unhideWhenUsed="0" w:uiPriority="0" w:semiHidden="0" w:name="List Number 4" w:locked="1"/>
    <w:lsdException w:unhideWhenUsed="0" w:uiPriority="0" w:semiHidden="0" w:name="List Number 5" w:locked="1"/>
    <w:lsdException w:qFormat="1" w:unhideWhenUsed="0" w:uiPriority="0" w:semiHidden="0" w:name="Title" w:locked="1"/>
    <w:lsdException w:unhideWhenUsed="0" w:uiPriority="0" w:semiHidden="0" w:name="Closing" w:locked="1"/>
    <w:lsdException w:unhideWhenUsed="0" w:uiPriority="0" w:semiHidden="0" w:name="Signature" w:locked="1"/>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ocked="1"/>
    <w:lsdException w:unhideWhenUsed="0" w:uiPriority="0" w:semiHidden="0" w:name="List Continue 2" w:locked="1"/>
    <w:lsdException w:unhideWhenUsed="0" w:uiPriority="0" w:semiHidden="0" w:name="List Continue 3" w:locked="1"/>
    <w:lsdException w:unhideWhenUsed="0" w:uiPriority="0" w:semiHidden="0" w:name="List Continue 4" w:locked="1"/>
    <w:lsdException w:unhideWhenUsed="0" w:uiPriority="0" w:semiHidden="0" w:name="List Continue 5" w:locked="1"/>
    <w:lsdException w:unhideWhenUsed="0" w:uiPriority="0" w:semiHidden="0" w:name="Message Header" w:locked="1"/>
    <w:lsdException w:qFormat="1" w:unhideWhenUsed="0" w:uiPriority="0" w:semiHidden="0" w:name="Subtitle" w:locked="1"/>
    <w:lsdException w:unhideWhenUsed="0" w:uiPriority="0" w:semiHidden="0" w:name="Salutation" w:locked="1"/>
    <w:lsdException w:qFormat="1" w:unhideWhenUsed="0" w:uiPriority="0" w:semiHidden="0" w:name="Date"/>
    <w:lsdException w:qFormat="1" w:unhideWhenUsed="0" w:uiPriority="0" w:semiHidden="0" w:name="Body Text First Indent" w:locked="1"/>
    <w:lsdException w:qFormat="1" w:unhideWhenUsed="0" w:uiPriority="0" w:semiHidden="0" w:name="Body Text First Indent 2" w:locked="1"/>
    <w:lsdException w:unhideWhenUsed="0" w:uiPriority="0" w:semiHidden="0" w:name="Note Heading" w:locked="1"/>
    <w:lsdException w:qFormat="1" w:unhideWhenUsed="0" w:uiPriority="0" w:semiHidden="0" w:name="Body Text 2" w:locked="1"/>
    <w:lsdException w:unhideWhenUsed="0" w:uiPriority="0" w:semiHidden="0" w:name="Body Text 3" w:locked="1"/>
    <w:lsdException w:qFormat="1" w:unhideWhenUsed="0" w:uiPriority="0" w:semiHidden="0" w:name="Body Text Indent 2" w:locked="1"/>
    <w:lsdException w:unhideWhenUsed="0" w:uiPriority="0" w:semiHidden="0" w:name="Body Text Indent 3" w:locked="1"/>
    <w:lsdException w:qFormat="1" w:unhideWhenUsed="0" w:uiPriority="0" w:semiHidden="0" w:name="Block Text" w:locked="1"/>
    <w:lsdException w:qFormat="1" w:uiPriority="99" w:semiHidden="0" w:name="Hyperlink" w:locked="1"/>
    <w:lsdException w:unhideWhenUsed="0" w:uiPriority="0" w:semiHidden="0" w:name="FollowedHyperlink" w:locked="1"/>
    <w:lsdException w:qFormat="1" w:unhideWhenUsed="0" w:uiPriority="0" w:semiHidden="0" w:name="Strong" w:locked="1"/>
    <w:lsdException w:qFormat="1" w:unhideWhenUsed="0" w:uiPriority="0" w:semiHidden="0" w:name="Emphasis" w:locked="1"/>
    <w:lsdException w:unhideWhenUsed="0" w:uiPriority="0" w:semiHidden="0" w:name="Document Map" w:locked="1"/>
    <w:lsdException w:qFormat="1" w:unhideWhenUsed="0" w:uiPriority="0" w:semiHidden="0" w:name="Plain Text" w:locked="1"/>
    <w:lsdException w:unhideWhenUsed="0" w:uiPriority="0" w:semiHidden="0" w:name="E-mail Signature" w:locked="1"/>
    <w:lsdException w:qFormat="1" w:unhideWhenUsed="0" w:uiPriority="0" w:semiHidden="0" w:name="Normal (Web)"/>
    <w:lsdException w:unhideWhenUsed="0" w:uiPriority="0" w:semiHidden="0" w:name="HTML Acronym" w:locked="1"/>
    <w:lsdException w:unhideWhenUsed="0" w:uiPriority="0" w:semiHidden="0" w:name="HTML Address" w:locked="1"/>
    <w:lsdException w:unhideWhenUsed="0" w:uiPriority="0" w:semiHidden="0" w:name="HTML Cite" w:locked="1"/>
    <w:lsdException w:unhideWhenUsed="0" w:uiPriority="0" w:semiHidden="0" w:name="HTML Code" w:locked="1"/>
    <w:lsdException w:unhideWhenUsed="0" w:uiPriority="0" w:semiHidden="0" w:name="HTML Definition" w:locked="1"/>
    <w:lsdException w:unhideWhenUsed="0" w:uiPriority="0" w:semiHidden="0" w:name="HTML Keyboard" w:locked="1"/>
    <w:lsdException w:unhideWhenUsed="0" w:uiPriority="0" w:semiHidden="0" w:name="HTML Preformatted" w:locked="1"/>
    <w:lsdException w:unhideWhenUsed="0" w:uiPriority="0" w:semiHidden="0" w:name="HTML Sample" w:locked="1"/>
    <w:lsdException w:unhideWhenUsed="0" w:uiPriority="0" w:semiHidden="0" w:name="HTML Typewriter" w:locked="1"/>
    <w:lsdException w:unhideWhenUsed="0" w:uiPriority="0" w:semiHidden="0" w:name="HTML Variable" w:locked="1"/>
    <w:lsdException w:qFormat="1" w:uiPriority="99" w:name="Normal Table"/>
    <w:lsdException w:qFormat="1" w:unhideWhenUsed="0" w:uiPriority="0" w:name="annotation subject"/>
    <w:lsdException w:uiPriority="0" w:name="Table Simple 1" w:locked="1"/>
    <w:lsdException w:uiPriority="0" w:name="Table Simple 2" w:locked="1"/>
    <w:lsdException w:uiPriority="0" w:name="Table Simple 3" w:locked="1"/>
    <w:lsdException w:uiPriority="0" w:name="Table Classic 1" w:locked="1"/>
    <w:lsdException w:uiPriority="0" w:name="Table Classic 2" w:locked="1"/>
    <w:lsdException w:uiPriority="0" w:name="Table Classic 3" w:locked="1"/>
    <w:lsdException w:uiPriority="0" w:name="Table Classic 4" w:locked="1"/>
    <w:lsdException w:uiPriority="0" w:name="Table Colorful 1" w:locked="1"/>
    <w:lsdException w:uiPriority="0" w:name="Table Colorful 2" w:locked="1"/>
    <w:lsdException w:uiPriority="0" w:name="Table Colorful 3" w:locked="1"/>
    <w:lsdException w:uiPriority="0" w:name="Table Columns 1" w:locked="1"/>
    <w:lsdException w:uiPriority="0" w:name="Table Columns 2" w:locked="1"/>
    <w:lsdException w:uiPriority="0" w:name="Table Columns 3" w:locked="1"/>
    <w:lsdException w:uiPriority="0" w:name="Table Columns 4" w:locked="1"/>
    <w:lsdException w:uiPriority="0" w:name="Table Columns 5" w:locked="1"/>
    <w:lsdException w:uiPriority="0" w:name="Table Grid 1" w:locked="1"/>
    <w:lsdException w:uiPriority="0" w:name="Table Grid 2" w:locked="1"/>
    <w:lsdException w:uiPriority="0" w:name="Table Grid 3" w:locked="1"/>
    <w:lsdException w:uiPriority="0" w:name="Table Grid 4" w:locked="1"/>
    <w:lsdException w:uiPriority="0" w:name="Table Grid 5" w:locked="1"/>
    <w:lsdException w:uiPriority="0" w:name="Table Grid 6" w:locked="1"/>
    <w:lsdException w:uiPriority="0" w:name="Table Grid 7" w:locked="1"/>
    <w:lsdException w:uiPriority="0" w:name="Table Grid 8" w:locked="1"/>
    <w:lsdException w:uiPriority="0" w:name="Table List 1" w:locked="1"/>
    <w:lsdException w:uiPriority="0" w:name="Table List 2" w:locked="1"/>
    <w:lsdException w:uiPriority="0" w:name="Table List 3" w:locked="1"/>
    <w:lsdException w:uiPriority="0" w:name="Table List 4" w:locked="1"/>
    <w:lsdException w:uiPriority="0" w:name="Table List 5" w:locked="1"/>
    <w:lsdException w:uiPriority="0" w:name="Table List 6" w:locked="1"/>
    <w:lsdException w:uiPriority="0" w:name="Table List 7" w:locked="1"/>
    <w:lsdException w:uiPriority="0" w:name="Table List 8" w:locked="1"/>
    <w:lsdException w:uiPriority="0" w:name="Table 3D effects 1" w:locked="1"/>
    <w:lsdException w:uiPriority="0" w:name="Table 3D effects 2" w:locked="1"/>
    <w:lsdException w:uiPriority="0" w:name="Table 3D effects 3" w:locked="1"/>
    <w:lsdException w:uiPriority="0" w:name="Table Contemporary" w:locked="1"/>
    <w:lsdException w:uiPriority="0" w:name="Table Elegant" w:locked="1"/>
    <w:lsdException w:uiPriority="0" w:name="Table Professional" w:locked="1"/>
    <w:lsdException w:uiPriority="0" w:name="Table Subtle 1" w:locked="1"/>
    <w:lsdException w:uiPriority="0" w:name="Table Subtle 2" w:locked="1"/>
    <w:lsdException w:uiPriority="0" w:name="Table Web 1" w:locked="1"/>
    <w:lsdException w:uiPriority="0" w:name="Table Web 2" w:locked="1"/>
    <w:lsdException w:uiPriority="0" w:name="Table Web 3" w:locked="1"/>
    <w:lsdException w:qFormat="1" w:unhideWhenUsed="0" w:uiPriority="0" w:name="Balloon Text"/>
    <w:lsdException w:qFormat="1" w:unhideWhenUsed="0" w:uiPriority="0" w:semiHidden="0" w:name="Table Grid"/>
    <w:lsdException w:uiPriority="0"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720" w:firstLineChars="200"/>
    </w:pPr>
    <w:rPr>
      <w:rFonts w:ascii="Times New Roman" w:hAnsi="Times New Roman" w:eastAsia="宋体" w:cs="Times New Roman"/>
      <w:kern w:val="2"/>
      <w:sz w:val="24"/>
      <w:szCs w:val="24"/>
      <w:lang w:val="en-US" w:eastAsia="zh-CN" w:bidi="ar-SA"/>
    </w:rPr>
  </w:style>
  <w:style w:type="paragraph" w:styleId="5">
    <w:name w:val="heading 1"/>
    <w:basedOn w:val="1"/>
    <w:next w:val="1"/>
    <w:qFormat/>
    <w:locked/>
    <w:uiPriority w:val="99"/>
    <w:pPr>
      <w:keepNext/>
      <w:overflowPunct w:val="0"/>
      <w:snapToGrid w:val="0"/>
      <w:spacing w:line="240" w:lineRule="auto"/>
      <w:ind w:firstLine="0" w:firstLineChars="0"/>
      <w:jc w:val="center"/>
      <w:outlineLvl w:val="0"/>
    </w:pPr>
    <w:rPr>
      <w:rFonts w:eastAsia="黑体"/>
      <w:bCs/>
      <w:color w:val="000000"/>
      <w:kern w:val="44"/>
      <w:sz w:val="30"/>
      <w:szCs w:val="30"/>
    </w:rPr>
  </w:style>
  <w:style w:type="paragraph" w:styleId="6">
    <w:name w:val="heading 2"/>
    <w:basedOn w:val="1"/>
    <w:next w:val="1"/>
    <w:qFormat/>
    <w:locked/>
    <w:uiPriority w:val="0"/>
    <w:pPr>
      <w:keepNext/>
      <w:keepLines/>
      <w:spacing w:line="360" w:lineRule="auto"/>
      <w:ind w:firstLine="0" w:firstLineChars="0"/>
      <w:jc w:val="center"/>
      <w:outlineLvl w:val="1"/>
    </w:pPr>
    <w:rPr>
      <w:rFonts w:ascii="Times New Roman" w:hAnsi="Times New Roman" w:eastAsia="宋体"/>
      <w:b/>
      <w:szCs w:val="21"/>
    </w:rPr>
  </w:style>
  <w:style w:type="paragraph" w:styleId="7">
    <w:name w:val="heading 3"/>
    <w:basedOn w:val="1"/>
    <w:next w:val="1"/>
    <w:qFormat/>
    <w:locked/>
    <w:uiPriority w:val="0"/>
    <w:pPr>
      <w:keepNext/>
      <w:keepLines/>
      <w:ind w:firstLine="0" w:firstLineChars="0"/>
      <w:outlineLvl w:val="2"/>
    </w:pPr>
    <w:rPr>
      <w:b/>
      <w:sz w:val="28"/>
    </w:rPr>
  </w:style>
  <w:style w:type="paragraph" w:styleId="8">
    <w:name w:val="heading 4"/>
    <w:basedOn w:val="1"/>
    <w:next w:val="1"/>
    <w:qFormat/>
    <w:locked/>
    <w:uiPriority w:val="0"/>
    <w:pPr>
      <w:keepNext/>
      <w:keepLines/>
      <w:ind w:firstLine="0" w:firstLineChars="0"/>
      <w:outlineLvl w:val="3"/>
    </w:pPr>
    <w:rPr>
      <w:b/>
      <w:szCs w:val="21"/>
    </w:rPr>
  </w:style>
  <w:style w:type="paragraph" w:styleId="9">
    <w:name w:val="heading 5"/>
    <w:basedOn w:val="1"/>
    <w:next w:val="1"/>
    <w:qFormat/>
    <w:locked/>
    <w:uiPriority w:val="0"/>
    <w:pPr>
      <w:snapToGrid w:val="0"/>
      <w:ind w:firstLine="0" w:firstLineChars="0"/>
      <w:outlineLvl w:val="4"/>
    </w:pPr>
    <w:rPr>
      <w:rFonts w:hint="eastAsia"/>
      <w:szCs w:val="21"/>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2">
    <w:name w:val="Plain Text"/>
    <w:basedOn w:val="1"/>
    <w:next w:val="3"/>
    <w:qFormat/>
    <w:locked/>
    <w:uiPriority w:val="0"/>
    <w:rPr>
      <w:rFonts w:hAnsi="Courier New"/>
    </w:rPr>
  </w:style>
  <w:style w:type="paragraph" w:customStyle="1" w:styleId="3">
    <w:name w:val="表内文字"/>
    <w:basedOn w:val="1"/>
    <w:next w:val="4"/>
    <w:qFormat/>
    <w:uiPriority w:val="0"/>
    <w:pPr>
      <w:suppressAutoHyphens/>
      <w:wordWrap w:val="0"/>
      <w:spacing w:line="360" w:lineRule="atLeast"/>
      <w:jc w:val="center"/>
    </w:pPr>
    <w:rPr>
      <w:rFonts w:ascii="Calibri" w:hAnsi="Calibri"/>
      <w:spacing w:val="18"/>
      <w:kern w:val="0"/>
      <w:sz w:val="32"/>
      <w:szCs w:val="20"/>
    </w:rPr>
  </w:style>
  <w:style w:type="paragraph" w:customStyle="1" w:styleId="4">
    <w:name w:val="+正文"/>
    <w:basedOn w:val="1"/>
    <w:qFormat/>
    <w:uiPriority w:val="0"/>
    <w:pPr>
      <w:spacing w:line="360" w:lineRule="auto"/>
      <w:ind w:firstLine="560" w:firstLineChars="200"/>
      <w:outlineLvl w:val="0"/>
    </w:pPr>
    <w:rPr>
      <w:rFonts w:ascii="宋体"/>
      <w:sz w:val="28"/>
      <w:szCs w:val="28"/>
    </w:rPr>
  </w:style>
  <w:style w:type="paragraph" w:styleId="10">
    <w:name w:val="Normal Indent"/>
    <w:basedOn w:val="1"/>
    <w:next w:val="8"/>
    <w:qFormat/>
    <w:locked/>
    <w:uiPriority w:val="0"/>
    <w:pPr>
      <w:ind w:firstLine="420"/>
    </w:pPr>
  </w:style>
  <w:style w:type="paragraph" w:styleId="11">
    <w:name w:val="toa heading"/>
    <w:basedOn w:val="1"/>
    <w:next w:val="1"/>
    <w:qFormat/>
    <w:locked/>
    <w:uiPriority w:val="0"/>
    <w:pPr>
      <w:spacing w:before="120" w:after="120"/>
      <w:ind w:firstLine="200" w:firstLineChars="200"/>
    </w:pPr>
    <w:rPr>
      <w:u w:val="single"/>
    </w:rPr>
  </w:style>
  <w:style w:type="paragraph" w:styleId="12">
    <w:name w:val="annotation text"/>
    <w:basedOn w:val="1"/>
    <w:link w:val="47"/>
    <w:semiHidden/>
    <w:qFormat/>
    <w:uiPriority w:val="0"/>
    <w:rPr>
      <w:kern w:val="0"/>
      <w:szCs w:val="20"/>
    </w:rPr>
  </w:style>
  <w:style w:type="paragraph" w:styleId="13">
    <w:name w:val="Body Text"/>
    <w:basedOn w:val="1"/>
    <w:next w:val="14"/>
    <w:link w:val="48"/>
    <w:qFormat/>
    <w:uiPriority w:val="0"/>
    <w:pPr>
      <w:widowControl/>
      <w:snapToGrid w:val="0"/>
      <w:spacing w:before="60" w:after="160" w:line="259" w:lineRule="auto"/>
      <w:ind w:right="113"/>
    </w:pPr>
    <w:rPr>
      <w:kern w:val="0"/>
      <w:sz w:val="18"/>
      <w:szCs w:val="20"/>
    </w:rPr>
  </w:style>
  <w:style w:type="paragraph" w:customStyle="1" w:styleId="14">
    <w:name w:val="默认段落"/>
    <w:basedOn w:val="1"/>
    <w:qFormat/>
    <w:uiPriority w:val="0"/>
  </w:style>
  <w:style w:type="paragraph" w:styleId="15">
    <w:name w:val="Body Text Indent"/>
    <w:basedOn w:val="1"/>
    <w:next w:val="16"/>
    <w:link w:val="46"/>
    <w:qFormat/>
    <w:uiPriority w:val="0"/>
    <w:pPr>
      <w:spacing w:after="120"/>
      <w:ind w:left="420" w:leftChars="200"/>
    </w:pPr>
    <w:rPr>
      <w:kern w:val="0"/>
      <w:szCs w:val="20"/>
    </w:rPr>
  </w:style>
  <w:style w:type="paragraph" w:styleId="16">
    <w:name w:val="Body Text Indent 2"/>
    <w:basedOn w:val="1"/>
    <w:next w:val="11"/>
    <w:qFormat/>
    <w:locked/>
    <w:uiPriority w:val="0"/>
    <w:pPr>
      <w:spacing w:after="120" w:line="480" w:lineRule="auto"/>
      <w:ind w:left="420" w:leftChars="200"/>
    </w:pPr>
  </w:style>
  <w:style w:type="paragraph" w:styleId="17">
    <w:name w:val="List 2"/>
    <w:basedOn w:val="1"/>
    <w:qFormat/>
    <w:locked/>
    <w:uiPriority w:val="0"/>
    <w:pPr>
      <w:spacing w:line="320" w:lineRule="exact"/>
      <w:jc w:val="center"/>
    </w:pPr>
    <w:rPr>
      <w:b/>
    </w:rPr>
  </w:style>
  <w:style w:type="paragraph" w:styleId="18">
    <w:name w:val="Block Text"/>
    <w:basedOn w:val="1"/>
    <w:next w:val="1"/>
    <w:qFormat/>
    <w:locked/>
    <w:uiPriority w:val="0"/>
    <w:pPr>
      <w:wordWrap/>
      <w:snapToGrid w:val="0"/>
      <w:spacing w:line="0" w:lineRule="atLeast"/>
      <w:ind w:left="-57" w:right="-57"/>
      <w:jc w:val="center"/>
    </w:pPr>
    <w:rPr>
      <w:spacing w:val="-12"/>
      <w:w w:val="90"/>
      <w:sz w:val="21"/>
    </w:rPr>
  </w:style>
  <w:style w:type="paragraph" w:styleId="19">
    <w:name w:val="Date"/>
    <w:basedOn w:val="1"/>
    <w:next w:val="1"/>
    <w:link w:val="49"/>
    <w:qFormat/>
    <w:uiPriority w:val="0"/>
    <w:pPr>
      <w:ind w:left="100" w:leftChars="2500"/>
    </w:pPr>
    <w:rPr>
      <w:kern w:val="0"/>
      <w:szCs w:val="20"/>
    </w:rPr>
  </w:style>
  <w:style w:type="paragraph" w:styleId="20">
    <w:name w:val="Balloon Text"/>
    <w:basedOn w:val="1"/>
    <w:link w:val="50"/>
    <w:semiHidden/>
    <w:qFormat/>
    <w:uiPriority w:val="0"/>
    <w:rPr>
      <w:kern w:val="0"/>
      <w:sz w:val="18"/>
      <w:szCs w:val="20"/>
    </w:rPr>
  </w:style>
  <w:style w:type="paragraph" w:styleId="21">
    <w:name w:val="footer"/>
    <w:basedOn w:val="1"/>
    <w:link w:val="51"/>
    <w:qFormat/>
    <w:uiPriority w:val="99"/>
    <w:pPr>
      <w:tabs>
        <w:tab w:val="center" w:pos="4153"/>
        <w:tab w:val="right" w:pos="8306"/>
      </w:tabs>
      <w:snapToGrid w:val="0"/>
    </w:pPr>
    <w:rPr>
      <w:kern w:val="0"/>
      <w:sz w:val="18"/>
      <w:szCs w:val="20"/>
    </w:rPr>
  </w:style>
  <w:style w:type="paragraph" w:styleId="22">
    <w:name w:val="header"/>
    <w:basedOn w:val="1"/>
    <w:next w:val="23"/>
    <w:link w:val="52"/>
    <w:qFormat/>
    <w:uiPriority w:val="0"/>
    <w:pPr>
      <w:pBdr>
        <w:bottom w:val="single" w:color="auto" w:sz="6" w:space="1"/>
      </w:pBdr>
      <w:tabs>
        <w:tab w:val="center" w:pos="4153"/>
        <w:tab w:val="right" w:pos="8306"/>
      </w:tabs>
      <w:snapToGrid w:val="0"/>
      <w:jc w:val="center"/>
    </w:pPr>
    <w:rPr>
      <w:kern w:val="0"/>
      <w:sz w:val="18"/>
      <w:szCs w:val="20"/>
    </w:rPr>
  </w:style>
  <w:style w:type="paragraph" w:customStyle="1" w:styleId="23">
    <w:name w:val="样式5"/>
    <w:basedOn w:val="24"/>
    <w:qFormat/>
    <w:uiPriority w:val="0"/>
    <w:pPr>
      <w:spacing w:line="580" w:lineRule="exact"/>
      <w:ind w:firstLine="720" w:firstLineChars="300"/>
    </w:pPr>
    <w:rPr>
      <w:rFonts w:ascii="黑体" w:eastAsia="黑体"/>
      <w:kern w:val="2"/>
    </w:rPr>
  </w:style>
  <w:style w:type="paragraph" w:customStyle="1" w:styleId="24">
    <w:name w:val="正文1"/>
    <w:basedOn w:val="1"/>
    <w:next w:val="1"/>
    <w:qFormat/>
    <w:uiPriority w:val="0"/>
    <w:pPr>
      <w:textAlignment w:val="top"/>
    </w:pPr>
    <w:rPr>
      <w:kern w:val="0"/>
    </w:rPr>
  </w:style>
  <w:style w:type="paragraph" w:styleId="25">
    <w:name w:val="List"/>
    <w:basedOn w:val="1"/>
    <w:qFormat/>
    <w:locked/>
    <w:uiPriority w:val="0"/>
    <w:pPr>
      <w:ind w:left="200" w:hanging="200" w:hangingChars="200"/>
    </w:pPr>
  </w:style>
  <w:style w:type="paragraph" w:styleId="26">
    <w:name w:val="Body Text 2"/>
    <w:basedOn w:val="1"/>
    <w:qFormat/>
    <w:locked/>
    <w:uiPriority w:val="0"/>
    <w:pPr>
      <w:jc w:val="center"/>
    </w:pPr>
  </w:style>
  <w:style w:type="paragraph" w:styleId="27">
    <w:name w:val="Normal (Web)"/>
    <w:basedOn w:val="1"/>
    <w:link w:val="53"/>
    <w:qFormat/>
    <w:uiPriority w:val="0"/>
    <w:pPr>
      <w:widowControl/>
      <w:spacing w:before="100" w:beforeAutospacing="1" w:after="100" w:afterAutospacing="1"/>
    </w:pPr>
    <w:rPr>
      <w:rFonts w:ascii="宋体" w:hAnsi="宋体"/>
      <w:kern w:val="0"/>
      <w:szCs w:val="20"/>
    </w:rPr>
  </w:style>
  <w:style w:type="paragraph" w:styleId="28">
    <w:name w:val="annotation subject"/>
    <w:basedOn w:val="12"/>
    <w:next w:val="12"/>
    <w:link w:val="54"/>
    <w:semiHidden/>
    <w:qFormat/>
    <w:uiPriority w:val="0"/>
    <w:rPr>
      <w:b/>
    </w:rPr>
  </w:style>
  <w:style w:type="paragraph" w:styleId="29">
    <w:name w:val="Body Text First Indent"/>
    <w:basedOn w:val="13"/>
    <w:next w:val="8"/>
    <w:qFormat/>
    <w:locked/>
    <w:uiPriority w:val="0"/>
    <w:pPr>
      <w:spacing w:after="120"/>
      <w:ind w:firstLine="420" w:firstLineChars="100"/>
    </w:pPr>
    <w:rPr>
      <w:sz w:val="21"/>
      <w:szCs w:val="24"/>
    </w:rPr>
  </w:style>
  <w:style w:type="paragraph" w:styleId="30">
    <w:name w:val="Body Text First Indent 2"/>
    <w:basedOn w:val="15"/>
    <w:next w:val="1"/>
    <w:qFormat/>
    <w:locked/>
    <w:uiPriority w:val="0"/>
    <w:pPr>
      <w:ind w:firstLine="42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4">
    <w:name w:val="page number"/>
    <w:qFormat/>
    <w:locked/>
    <w:uiPriority w:val="0"/>
  </w:style>
  <w:style w:type="character" w:styleId="35">
    <w:name w:val="Hyperlink"/>
    <w:unhideWhenUsed/>
    <w:qFormat/>
    <w:locked/>
    <w:uiPriority w:val="99"/>
    <w:rPr>
      <w:rFonts w:ascii="Arial" w:hAnsi="Arial" w:cs="Arial"/>
      <w:color w:val="0331BC"/>
      <w:u w:val="single"/>
    </w:rPr>
  </w:style>
  <w:style w:type="character" w:styleId="36">
    <w:name w:val="annotation reference"/>
    <w:semiHidden/>
    <w:qFormat/>
    <w:uiPriority w:val="0"/>
    <w:rPr>
      <w:sz w:val="21"/>
    </w:rPr>
  </w:style>
  <w:style w:type="paragraph" w:customStyle="1" w:styleId="37">
    <w:name w:val="样式 正文文本 + 首行缩进:  2 字符"/>
    <w:basedOn w:val="13"/>
    <w:qFormat/>
    <w:uiPriority w:val="99"/>
    <w:pPr>
      <w:spacing w:after="200" w:line="480" w:lineRule="exact"/>
      <w:ind w:firstLine="480"/>
    </w:pPr>
    <w:rPr>
      <w:rFonts w:ascii="宋体" w:hAnsi="宋体"/>
      <w:sz w:val="24"/>
    </w:rPr>
  </w:style>
  <w:style w:type="paragraph" w:customStyle="1" w:styleId="38">
    <w:name w:val="Default1"/>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39">
    <w:name w:val="7表格内容7"/>
    <w:basedOn w:val="1"/>
    <w:qFormat/>
    <w:uiPriority w:val="0"/>
    <w:pPr>
      <w:widowControl/>
      <w:spacing w:line="240" w:lineRule="auto"/>
      <w:ind w:firstLine="0" w:firstLineChars="0"/>
      <w:jc w:val="center"/>
    </w:pPr>
    <w:rPr>
      <w:rFonts w:ascii="宋体" w:hAnsi="宋体"/>
      <w:kern w:val="0"/>
      <w:sz w:val="21"/>
      <w:szCs w:val="21"/>
    </w:rPr>
  </w:style>
  <w:style w:type="paragraph" w:customStyle="1" w:styleId="40">
    <w:name w:val="样式 样式 样式 四号 左侧:  1.53 厘米 + 首行缩进:  2 字符 + 居中 左侧:  2 字符 首行缩进:  2..."/>
    <w:basedOn w:val="41"/>
    <w:qFormat/>
    <w:uiPriority w:val="0"/>
    <w:pPr>
      <w:jc w:val="center"/>
    </w:pPr>
  </w:style>
  <w:style w:type="paragraph" w:customStyle="1" w:styleId="41">
    <w:name w:val="样式 样式 四号 左侧:  1.53 厘米 + 首行缩进:  2 字符"/>
    <w:basedOn w:val="42"/>
    <w:qFormat/>
    <w:uiPriority w:val="0"/>
    <w:pPr>
      <w:ind w:left="200" w:leftChars="200"/>
    </w:pPr>
    <w:rPr>
      <w:szCs w:val="20"/>
    </w:rPr>
  </w:style>
  <w:style w:type="paragraph" w:customStyle="1" w:styleId="42">
    <w:name w:val="样式 四号 左侧:  1.53 厘米"/>
    <w:basedOn w:val="1"/>
    <w:qFormat/>
    <w:uiPriority w:val="0"/>
    <w:pPr>
      <w:adjustRightInd w:val="0"/>
    </w:pPr>
    <w:rPr>
      <w:w w:val="90"/>
      <w:sz w:val="28"/>
      <w:szCs w:val="28"/>
    </w:rPr>
  </w:style>
  <w:style w:type="paragraph" w:customStyle="1" w:styleId="43">
    <w:name w:val="Default"/>
    <w:basedOn w:val="44"/>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paragraph" w:customStyle="1" w:styleId="44">
    <w:name w:val="纯文本1"/>
    <w:basedOn w:val="1"/>
    <w:qFormat/>
    <w:uiPriority w:val="99"/>
    <w:pPr>
      <w:autoSpaceDE w:val="0"/>
      <w:autoSpaceDN w:val="0"/>
      <w:adjustRightInd w:val="0"/>
      <w:textAlignment w:val="baseline"/>
    </w:pPr>
    <w:rPr>
      <w:rFonts w:ascii="宋体"/>
      <w:szCs w:val="20"/>
    </w:rPr>
  </w:style>
  <w:style w:type="paragraph" w:customStyle="1" w:styleId="45">
    <w:name w:val="表头"/>
    <w:basedOn w:val="25"/>
    <w:next w:val="1"/>
    <w:qFormat/>
    <w:uiPriority w:val="0"/>
    <w:pPr>
      <w:keepNext/>
      <w:keepLines/>
      <w:autoSpaceDE w:val="0"/>
      <w:autoSpaceDN w:val="0"/>
      <w:adjustRightInd w:val="0"/>
      <w:spacing w:line="240" w:lineRule="auto"/>
      <w:ind w:firstLine="0" w:firstLineChars="0"/>
      <w:jc w:val="center"/>
    </w:pPr>
    <w:rPr>
      <w:b/>
      <w:kern w:val="21"/>
      <w:szCs w:val="20"/>
    </w:rPr>
  </w:style>
  <w:style w:type="character" w:customStyle="1" w:styleId="46">
    <w:name w:val="正文文本缩进 Char"/>
    <w:link w:val="15"/>
    <w:semiHidden/>
    <w:qFormat/>
    <w:locked/>
    <w:uiPriority w:val="0"/>
    <w:rPr>
      <w:rFonts w:ascii="Times New Roman" w:hAnsi="Times New Roman" w:eastAsia="宋体"/>
      <w:sz w:val="24"/>
    </w:rPr>
  </w:style>
  <w:style w:type="character" w:customStyle="1" w:styleId="47">
    <w:name w:val="批注文字 Char"/>
    <w:link w:val="12"/>
    <w:qFormat/>
    <w:locked/>
    <w:uiPriority w:val="0"/>
    <w:rPr>
      <w:rFonts w:ascii="Times New Roman" w:hAnsi="Times New Roman" w:eastAsia="宋体"/>
      <w:sz w:val="24"/>
    </w:rPr>
  </w:style>
  <w:style w:type="character" w:customStyle="1" w:styleId="48">
    <w:name w:val="正文文本 Char"/>
    <w:link w:val="13"/>
    <w:qFormat/>
    <w:locked/>
    <w:uiPriority w:val="0"/>
    <w:rPr>
      <w:sz w:val="18"/>
    </w:rPr>
  </w:style>
  <w:style w:type="character" w:customStyle="1" w:styleId="49">
    <w:name w:val="日期 Char"/>
    <w:link w:val="19"/>
    <w:qFormat/>
    <w:locked/>
    <w:uiPriority w:val="0"/>
    <w:rPr>
      <w:rFonts w:ascii="Times New Roman" w:hAnsi="Times New Roman" w:eastAsia="宋体"/>
      <w:sz w:val="24"/>
    </w:rPr>
  </w:style>
  <w:style w:type="character" w:customStyle="1" w:styleId="50">
    <w:name w:val="批注框文本 Char"/>
    <w:link w:val="20"/>
    <w:semiHidden/>
    <w:qFormat/>
    <w:locked/>
    <w:uiPriority w:val="0"/>
    <w:rPr>
      <w:rFonts w:ascii="Times New Roman" w:hAnsi="Times New Roman" w:eastAsia="宋体"/>
      <w:sz w:val="18"/>
    </w:rPr>
  </w:style>
  <w:style w:type="character" w:customStyle="1" w:styleId="51">
    <w:name w:val="页脚 Char"/>
    <w:link w:val="21"/>
    <w:qFormat/>
    <w:locked/>
    <w:uiPriority w:val="99"/>
    <w:rPr>
      <w:sz w:val="18"/>
    </w:rPr>
  </w:style>
  <w:style w:type="character" w:customStyle="1" w:styleId="52">
    <w:name w:val="页眉 Char"/>
    <w:link w:val="22"/>
    <w:qFormat/>
    <w:locked/>
    <w:uiPriority w:val="0"/>
    <w:rPr>
      <w:sz w:val="18"/>
    </w:rPr>
  </w:style>
  <w:style w:type="character" w:customStyle="1" w:styleId="53">
    <w:name w:val="普通(网站) Char"/>
    <w:link w:val="27"/>
    <w:qFormat/>
    <w:locked/>
    <w:uiPriority w:val="0"/>
    <w:rPr>
      <w:rFonts w:ascii="宋体" w:hAnsi="宋体" w:eastAsia="宋体"/>
      <w:sz w:val="24"/>
    </w:rPr>
  </w:style>
  <w:style w:type="character" w:customStyle="1" w:styleId="54">
    <w:name w:val="批注主题 Char"/>
    <w:link w:val="28"/>
    <w:semiHidden/>
    <w:qFormat/>
    <w:locked/>
    <w:uiPriority w:val="0"/>
    <w:rPr>
      <w:rFonts w:ascii="Times New Roman" w:hAnsi="Times New Roman" w:eastAsia="宋体"/>
      <w:b/>
      <w:kern w:val="2"/>
      <w:sz w:val="24"/>
    </w:rPr>
  </w:style>
  <w:style w:type="character" w:customStyle="1" w:styleId="55">
    <w:name w:val="批注文字 字符1"/>
    <w:semiHidden/>
    <w:qFormat/>
    <w:uiPriority w:val="0"/>
    <w:rPr>
      <w:rFonts w:ascii="Times New Roman" w:hAnsi="Times New Roman" w:eastAsia="宋体"/>
      <w:sz w:val="24"/>
    </w:rPr>
  </w:style>
  <w:style w:type="character" w:customStyle="1" w:styleId="56">
    <w:name w:val="font21"/>
    <w:qFormat/>
    <w:uiPriority w:val="0"/>
    <w:rPr>
      <w:rFonts w:hint="eastAsia" w:ascii="宋体" w:hAnsi="宋体" w:eastAsia="宋体" w:cs="宋体"/>
      <w:color w:val="000000"/>
      <w:sz w:val="21"/>
      <w:szCs w:val="21"/>
      <w:u w:val="none"/>
    </w:rPr>
  </w:style>
  <w:style w:type="character" w:customStyle="1" w:styleId="57">
    <w:name w:val="font81"/>
    <w:qFormat/>
    <w:uiPriority w:val="0"/>
    <w:rPr>
      <w:rFonts w:hint="eastAsia" w:ascii="宋体" w:hAnsi="宋体" w:eastAsia="宋体" w:cs="宋体"/>
      <w:color w:val="000000"/>
      <w:sz w:val="21"/>
      <w:szCs w:val="21"/>
      <w:u w:val="none"/>
    </w:rPr>
  </w:style>
  <w:style w:type="character" w:customStyle="1" w:styleId="58">
    <w:name w:val="font51"/>
    <w:qFormat/>
    <w:uiPriority w:val="0"/>
    <w:rPr>
      <w:rFonts w:hint="eastAsia" w:ascii="宋体" w:hAnsi="宋体" w:eastAsia="宋体" w:cs="宋体"/>
      <w:color w:val="000000"/>
      <w:sz w:val="21"/>
      <w:szCs w:val="21"/>
      <w:u w:val="none"/>
    </w:rPr>
  </w:style>
  <w:style w:type="character" w:customStyle="1" w:styleId="59">
    <w:name w:val="font11"/>
    <w:qFormat/>
    <w:uiPriority w:val="0"/>
    <w:rPr>
      <w:rFonts w:hint="default" w:ascii="Times New Roman" w:hAnsi="Times New Roman" w:cs="Times New Roman"/>
      <w:color w:val="000000"/>
      <w:sz w:val="21"/>
      <w:szCs w:val="21"/>
      <w:u w:val="none"/>
    </w:rPr>
  </w:style>
  <w:style w:type="character" w:customStyle="1" w:styleId="60">
    <w:name w:val="日期 字符"/>
    <w:semiHidden/>
    <w:qFormat/>
    <w:uiPriority w:val="0"/>
    <w:rPr>
      <w:rFonts w:ascii="Times New Roman" w:hAnsi="Times New Roman" w:eastAsia="宋体"/>
      <w:sz w:val="24"/>
    </w:rPr>
  </w:style>
  <w:style w:type="character" w:customStyle="1" w:styleId="61">
    <w:name w:val="font31"/>
    <w:qFormat/>
    <w:uiPriority w:val="0"/>
    <w:rPr>
      <w:rFonts w:hint="default" w:ascii="Times New Roman" w:hAnsi="Times New Roman" w:cs="Times New Roman"/>
      <w:color w:val="000000"/>
      <w:sz w:val="21"/>
      <w:szCs w:val="21"/>
      <w:u w:val="none"/>
    </w:rPr>
  </w:style>
  <w:style w:type="character" w:customStyle="1" w:styleId="62">
    <w:name w:val="表格 Char"/>
    <w:link w:val="63"/>
    <w:qFormat/>
    <w:locked/>
    <w:uiPriority w:val="0"/>
    <w:rPr>
      <w:rFonts w:ascii="宋体" w:hAnsi="宋体" w:eastAsia="宋体"/>
      <w:sz w:val="21"/>
    </w:rPr>
  </w:style>
  <w:style w:type="paragraph" w:customStyle="1" w:styleId="63">
    <w:name w:val="表格"/>
    <w:basedOn w:val="10"/>
    <w:next w:val="1"/>
    <w:link w:val="62"/>
    <w:qFormat/>
    <w:uiPriority w:val="0"/>
    <w:pPr>
      <w:adjustRightInd w:val="0"/>
      <w:snapToGrid w:val="0"/>
      <w:spacing w:line="240" w:lineRule="auto"/>
      <w:ind w:firstLine="0" w:firstLineChars="0"/>
      <w:jc w:val="center"/>
    </w:pPr>
    <w:rPr>
      <w:rFonts w:ascii="宋体" w:hAnsi="宋体"/>
      <w:kern w:val="0"/>
      <w:sz w:val="21"/>
      <w:szCs w:val="20"/>
    </w:rPr>
  </w:style>
  <w:style w:type="character" w:customStyle="1" w:styleId="64">
    <w:name w:val="正文文本 字符1"/>
    <w:semiHidden/>
    <w:qFormat/>
    <w:uiPriority w:val="0"/>
    <w:rPr>
      <w:rFonts w:ascii="Times New Roman" w:hAnsi="Times New Roman" w:eastAsia="宋体"/>
      <w:sz w:val="24"/>
    </w:rPr>
  </w:style>
  <w:style w:type="character" w:customStyle="1" w:styleId="65">
    <w:name w:val="页脚 字符"/>
    <w:qFormat/>
    <w:uiPriority w:val="99"/>
  </w:style>
  <w:style w:type="paragraph" w:customStyle="1" w:styleId="66">
    <w:name w:val="正文_25"/>
    <w:qFormat/>
    <w:uiPriority w:val="0"/>
    <w:pPr>
      <w:widowControl w:val="0"/>
      <w:jc w:val="both"/>
    </w:pPr>
    <w:rPr>
      <w:rFonts w:ascii="Calibri" w:hAnsi="Calibri" w:eastAsia="宋体" w:cs="Times New Roman"/>
      <w:kern w:val="2"/>
      <w:sz w:val="21"/>
      <w:lang w:val="en-US" w:eastAsia="zh-CN" w:bidi="ar-SA"/>
    </w:rPr>
  </w:style>
  <w:style w:type="paragraph" w:customStyle="1" w:styleId="67">
    <w:name w:val="表格正文"/>
    <w:basedOn w:val="1"/>
    <w:qFormat/>
    <w:uiPriority w:val="0"/>
    <w:pPr>
      <w:spacing w:line="360" w:lineRule="exact"/>
      <w:jc w:val="center"/>
    </w:pPr>
  </w:style>
  <w:style w:type="paragraph" w:customStyle="1" w:styleId="68">
    <w:name w:val="正文 首行缩进:  2 字符"/>
    <w:basedOn w:val="1"/>
    <w:semiHidden/>
    <w:qFormat/>
    <w:uiPriority w:val="0"/>
    <w:pPr>
      <w:spacing w:line="520" w:lineRule="exact"/>
      <w:ind w:firstLine="480" w:firstLineChars="200"/>
    </w:pPr>
    <w:rPr>
      <w:kern w:val="44"/>
    </w:rPr>
  </w:style>
  <w:style w:type="paragraph" w:customStyle="1" w:styleId="69">
    <w:name w:val="正文_28"/>
    <w:qFormat/>
    <w:uiPriority w:val="0"/>
    <w:pPr>
      <w:widowControl w:val="0"/>
      <w:jc w:val="both"/>
    </w:pPr>
    <w:rPr>
      <w:rFonts w:ascii="Calibri" w:hAnsi="Calibri" w:eastAsia="宋体" w:cs="Times New Roman"/>
      <w:kern w:val="2"/>
      <w:sz w:val="21"/>
      <w:lang w:val="en-US" w:eastAsia="zh-CN" w:bidi="ar-SA"/>
    </w:rPr>
  </w:style>
  <w:style w:type="paragraph" w:customStyle="1" w:styleId="70">
    <w:name w:val="普通(网站)2"/>
    <w:basedOn w:val="1"/>
    <w:qFormat/>
    <w:uiPriority w:val="0"/>
    <w:pPr>
      <w:widowControl/>
      <w:spacing w:before="100" w:beforeAutospacing="1" w:after="100" w:afterAutospacing="1"/>
    </w:pPr>
    <w:rPr>
      <w:rFonts w:ascii="宋体" w:hAnsi="宋体"/>
      <w:szCs w:val="20"/>
    </w:rPr>
  </w:style>
  <w:style w:type="paragraph" w:customStyle="1" w:styleId="71">
    <w:name w:val="正文_26"/>
    <w:qFormat/>
    <w:uiPriority w:val="0"/>
    <w:pPr>
      <w:widowControl w:val="0"/>
      <w:jc w:val="both"/>
    </w:pPr>
    <w:rPr>
      <w:rFonts w:ascii="Calibri" w:hAnsi="Calibri" w:eastAsia="宋体" w:cs="Times New Roman"/>
      <w:kern w:val="2"/>
      <w:sz w:val="21"/>
      <w:lang w:val="en-US" w:eastAsia="zh-CN" w:bidi="ar-SA"/>
    </w:rPr>
  </w:style>
  <w:style w:type="paragraph" w:customStyle="1" w:styleId="72">
    <w:name w:val="正文_1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3">
    <w:name w:val="1.1.1.1"/>
    <w:basedOn w:val="1"/>
    <w:next w:val="1"/>
    <w:qFormat/>
    <w:uiPriority w:val="0"/>
    <w:pPr>
      <w:keepNext/>
      <w:keepLines/>
      <w:outlineLvl w:val="2"/>
    </w:pPr>
  </w:style>
  <w:style w:type="paragraph" w:customStyle="1" w:styleId="74">
    <w:name w:val="正文文本1"/>
    <w:basedOn w:val="75"/>
    <w:qFormat/>
    <w:uiPriority w:val="0"/>
    <w:pPr>
      <w:ind w:firstLine="200" w:firstLineChars="200"/>
    </w:pPr>
    <w:rPr>
      <w:b w:val="0"/>
    </w:rPr>
  </w:style>
  <w:style w:type="paragraph" w:customStyle="1" w:styleId="75">
    <w:name w:val="标题2"/>
    <w:basedOn w:val="76"/>
    <w:qFormat/>
    <w:uiPriority w:val="0"/>
    <w:pPr>
      <w:adjustRightInd w:val="0"/>
      <w:snapToGrid w:val="0"/>
      <w:ind w:firstLine="0" w:firstLineChars="0"/>
      <w:jc w:val="left"/>
    </w:pPr>
    <w:rPr>
      <w:b/>
      <w:bCs/>
      <w:szCs w:val="21"/>
    </w:rPr>
  </w:style>
  <w:style w:type="paragraph" w:customStyle="1" w:styleId="76">
    <w:name w:val="样式1"/>
    <w:basedOn w:val="77"/>
    <w:qFormat/>
    <w:uiPriority w:val="0"/>
    <w:pPr>
      <w:ind w:firstLine="0"/>
    </w:pPr>
  </w:style>
  <w:style w:type="paragraph" w:customStyle="1" w:styleId="77">
    <w:name w:val="正文2"/>
    <w:qFormat/>
    <w:uiPriority w:val="0"/>
    <w:pPr>
      <w:widowControl w:val="0"/>
      <w:suppressAutoHyphens/>
      <w:spacing w:line="520" w:lineRule="atLeast"/>
      <w:ind w:firstLine="200"/>
      <w:jc w:val="both"/>
    </w:pPr>
    <w:rPr>
      <w:rFonts w:ascii="Times New Roman" w:hAnsi="Times New Roman" w:eastAsia="宋体" w:cs="Times New Roman"/>
      <w:spacing w:val="18"/>
      <w:sz w:val="32"/>
      <w:lang w:val="en-US" w:eastAsia="zh-CN" w:bidi="ar-SA"/>
    </w:rPr>
  </w:style>
  <w:style w:type="paragraph" w:customStyle="1" w:styleId="78">
    <w:name w:val="WPSOffice手动目录 1"/>
    <w:qFormat/>
    <w:uiPriority w:val="0"/>
    <w:pPr>
      <w:ind w:leftChars="0"/>
    </w:pPr>
    <w:rPr>
      <w:rFonts w:ascii="Times New Roman" w:hAnsi="Times New Roman" w:eastAsia="宋体" w:cs="Times New Roman"/>
      <w:sz w:val="20"/>
      <w:szCs w:val="20"/>
    </w:rPr>
  </w:style>
  <w:style w:type="paragraph" w:customStyle="1" w:styleId="79">
    <w:name w:val="表格   环评"/>
    <w:basedOn w:val="1"/>
    <w:next w:val="1"/>
    <w:qFormat/>
    <w:uiPriority w:val="0"/>
    <w:pPr>
      <w:keepNext/>
      <w:keepLines/>
      <w:spacing w:beforeLines="0" w:afterLines="0" w:line="360" w:lineRule="auto"/>
      <w:ind w:firstLine="0" w:firstLineChars="0"/>
      <w:jc w:val="center"/>
      <w:outlineLvl w:val="3"/>
    </w:pPr>
    <w:rPr>
      <w:rFonts w:hint="eastAsia"/>
      <w:sz w:val="21"/>
      <w:szCs w:val="21"/>
    </w:rPr>
  </w:style>
  <w:style w:type="paragraph" w:customStyle="1" w:styleId="80">
    <w:name w:val="表名"/>
    <w:basedOn w:val="1"/>
    <w:qFormat/>
    <w:uiPriority w:val="0"/>
    <w:pPr>
      <w:keepNext/>
      <w:overflowPunct w:val="0"/>
      <w:spacing w:line="240" w:lineRule="auto"/>
      <w:ind w:firstLine="0" w:firstLineChars="0"/>
      <w:jc w:val="center"/>
      <w:textAlignment w:val="baseline"/>
      <w:outlineLvl w:val="9"/>
    </w:pPr>
    <w:rPr>
      <w:rFonts w:ascii="Times New Roman" w:hAnsi="Times New Roman"/>
      <w:b/>
      <w:bCs/>
      <w:spacing w:val="11"/>
      <w:kern w:val="24"/>
      <w:szCs w:val="20"/>
    </w:rPr>
  </w:style>
  <w:style w:type="paragraph" w:customStyle="1" w:styleId="81">
    <w:name w:val="策正文"/>
    <w:basedOn w:val="1"/>
    <w:qFormat/>
    <w:uiPriority w:val="0"/>
    <w:pPr>
      <w:adjustRightInd w:val="0"/>
      <w:ind w:firstLine="420" w:firstLineChars="200"/>
    </w:pPr>
    <w:rPr>
      <w:rFonts w:asciiTheme="minorHAnsi" w:hAnsiTheme="minorHAnsi"/>
      <w:color w:val="000000"/>
      <w:lang w:eastAsia="en-US" w:bidi="en-US"/>
    </w:rPr>
  </w:style>
  <w:style w:type="paragraph" w:customStyle="1" w:styleId="82">
    <w:name w:val="表头及表尾"/>
    <w:qFormat/>
    <w:uiPriority w:val="0"/>
    <w:pPr>
      <w:tabs>
        <w:tab w:val="center" w:pos="4200"/>
        <w:tab w:val="right" w:pos="8400"/>
      </w:tabs>
      <w:adjustRightInd w:val="0"/>
      <w:snapToGrid w:val="0"/>
      <w:spacing w:line="360" w:lineRule="auto"/>
      <w:jc w:val="center"/>
    </w:pPr>
    <w:rPr>
      <w:rFonts w:ascii="Calibri" w:hAnsi="Calibri" w:eastAsia="宋体" w:cs="Times New Roman"/>
      <w:b/>
      <w:snapToGrid w:val="0"/>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4.bin"/><Relationship Id="rId98" Type="http://schemas.openxmlformats.org/officeDocument/2006/relationships/image" Target="media/image47.wmf"/><Relationship Id="rId97" Type="http://schemas.openxmlformats.org/officeDocument/2006/relationships/oleObject" Target="embeddings/oleObject43.bin"/><Relationship Id="rId96" Type="http://schemas.openxmlformats.org/officeDocument/2006/relationships/image" Target="media/image46.wmf"/><Relationship Id="rId95" Type="http://schemas.openxmlformats.org/officeDocument/2006/relationships/oleObject" Target="embeddings/oleObject42.bin"/><Relationship Id="rId94" Type="http://schemas.openxmlformats.org/officeDocument/2006/relationships/image" Target="media/image45.wmf"/><Relationship Id="rId93" Type="http://schemas.openxmlformats.org/officeDocument/2006/relationships/oleObject" Target="embeddings/oleObject41.bin"/><Relationship Id="rId92" Type="http://schemas.openxmlformats.org/officeDocument/2006/relationships/oleObject" Target="embeddings/oleObject40.bin"/><Relationship Id="rId91" Type="http://schemas.openxmlformats.org/officeDocument/2006/relationships/image" Target="media/image44.wmf"/><Relationship Id="rId90" Type="http://schemas.openxmlformats.org/officeDocument/2006/relationships/oleObject" Target="embeddings/oleObject39.bin"/><Relationship Id="rId9" Type="http://schemas.openxmlformats.org/officeDocument/2006/relationships/image" Target="media/image1.png"/><Relationship Id="rId89" Type="http://schemas.openxmlformats.org/officeDocument/2006/relationships/image" Target="media/image43.wmf"/><Relationship Id="rId88" Type="http://schemas.openxmlformats.org/officeDocument/2006/relationships/oleObject" Target="embeddings/oleObject38.bin"/><Relationship Id="rId87" Type="http://schemas.openxmlformats.org/officeDocument/2006/relationships/image" Target="media/image42.wmf"/><Relationship Id="rId86" Type="http://schemas.openxmlformats.org/officeDocument/2006/relationships/oleObject" Target="embeddings/oleObject37.bin"/><Relationship Id="rId85" Type="http://schemas.openxmlformats.org/officeDocument/2006/relationships/image" Target="media/image41.wmf"/><Relationship Id="rId84" Type="http://schemas.openxmlformats.org/officeDocument/2006/relationships/oleObject" Target="embeddings/oleObject36.bin"/><Relationship Id="rId83" Type="http://schemas.openxmlformats.org/officeDocument/2006/relationships/image" Target="media/image40.wmf"/><Relationship Id="rId82" Type="http://schemas.openxmlformats.org/officeDocument/2006/relationships/oleObject" Target="embeddings/oleObject35.bin"/><Relationship Id="rId81" Type="http://schemas.openxmlformats.org/officeDocument/2006/relationships/image" Target="media/image39.wmf"/><Relationship Id="rId80" Type="http://schemas.openxmlformats.org/officeDocument/2006/relationships/oleObject" Target="embeddings/oleObject34.bin"/><Relationship Id="rId8" Type="http://schemas.openxmlformats.org/officeDocument/2006/relationships/theme" Target="theme/theme1.xml"/><Relationship Id="rId79" Type="http://schemas.openxmlformats.org/officeDocument/2006/relationships/image" Target="media/image38.wmf"/><Relationship Id="rId78" Type="http://schemas.openxmlformats.org/officeDocument/2006/relationships/oleObject" Target="embeddings/oleObject33.bin"/><Relationship Id="rId77" Type="http://schemas.openxmlformats.org/officeDocument/2006/relationships/image" Target="media/image37.wmf"/><Relationship Id="rId76" Type="http://schemas.openxmlformats.org/officeDocument/2006/relationships/oleObject" Target="embeddings/oleObject32.bin"/><Relationship Id="rId75" Type="http://schemas.openxmlformats.org/officeDocument/2006/relationships/image" Target="media/image36.wmf"/><Relationship Id="rId74" Type="http://schemas.openxmlformats.org/officeDocument/2006/relationships/oleObject" Target="embeddings/oleObject31.bin"/><Relationship Id="rId73" Type="http://schemas.openxmlformats.org/officeDocument/2006/relationships/image" Target="media/image35.wmf"/><Relationship Id="rId72" Type="http://schemas.openxmlformats.org/officeDocument/2006/relationships/oleObject" Target="embeddings/oleObject30.bin"/><Relationship Id="rId71" Type="http://schemas.openxmlformats.org/officeDocument/2006/relationships/oleObject" Target="embeddings/oleObject29.bin"/><Relationship Id="rId70" Type="http://schemas.openxmlformats.org/officeDocument/2006/relationships/image" Target="media/image34.wmf"/><Relationship Id="rId7" Type="http://schemas.openxmlformats.org/officeDocument/2006/relationships/footer" Target="footer3.xml"/><Relationship Id="rId69" Type="http://schemas.openxmlformats.org/officeDocument/2006/relationships/oleObject" Target="embeddings/oleObject28.bin"/><Relationship Id="rId68" Type="http://schemas.openxmlformats.org/officeDocument/2006/relationships/image" Target="media/image33.wmf"/><Relationship Id="rId67" Type="http://schemas.openxmlformats.org/officeDocument/2006/relationships/oleObject" Target="embeddings/oleObject27.bin"/><Relationship Id="rId66" Type="http://schemas.openxmlformats.org/officeDocument/2006/relationships/image" Target="media/image32.wmf"/><Relationship Id="rId65" Type="http://schemas.openxmlformats.org/officeDocument/2006/relationships/oleObject" Target="embeddings/oleObject26.bin"/><Relationship Id="rId64" Type="http://schemas.openxmlformats.org/officeDocument/2006/relationships/oleObject" Target="embeddings/oleObject25.bin"/><Relationship Id="rId63" Type="http://schemas.openxmlformats.org/officeDocument/2006/relationships/image" Target="media/image31.wmf"/><Relationship Id="rId62" Type="http://schemas.openxmlformats.org/officeDocument/2006/relationships/oleObject" Target="embeddings/oleObject24.bin"/><Relationship Id="rId61" Type="http://schemas.openxmlformats.org/officeDocument/2006/relationships/image" Target="media/image30.wmf"/><Relationship Id="rId60" Type="http://schemas.openxmlformats.org/officeDocument/2006/relationships/oleObject" Target="embeddings/oleObject23.bin"/><Relationship Id="rId6" Type="http://schemas.openxmlformats.org/officeDocument/2006/relationships/footer" Target="footer2.xml"/><Relationship Id="rId59" Type="http://schemas.openxmlformats.org/officeDocument/2006/relationships/image" Target="media/image29.wmf"/><Relationship Id="rId58" Type="http://schemas.openxmlformats.org/officeDocument/2006/relationships/oleObject" Target="embeddings/oleObject22.bin"/><Relationship Id="rId57" Type="http://schemas.openxmlformats.org/officeDocument/2006/relationships/image" Target="media/image28.wmf"/><Relationship Id="rId56" Type="http://schemas.openxmlformats.org/officeDocument/2006/relationships/oleObject" Target="embeddings/oleObject21.bin"/><Relationship Id="rId55" Type="http://schemas.openxmlformats.org/officeDocument/2006/relationships/image" Target="media/image27.wmf"/><Relationship Id="rId54" Type="http://schemas.openxmlformats.org/officeDocument/2006/relationships/oleObject" Target="embeddings/oleObject20.bin"/><Relationship Id="rId53" Type="http://schemas.openxmlformats.org/officeDocument/2006/relationships/image" Target="media/image26.wmf"/><Relationship Id="rId52" Type="http://schemas.openxmlformats.org/officeDocument/2006/relationships/oleObject" Target="embeddings/oleObject19.bin"/><Relationship Id="rId51" Type="http://schemas.openxmlformats.org/officeDocument/2006/relationships/image" Target="media/image25.wmf"/><Relationship Id="rId50" Type="http://schemas.openxmlformats.org/officeDocument/2006/relationships/oleObject" Target="embeddings/oleObject18.bin"/><Relationship Id="rId5" Type="http://schemas.openxmlformats.org/officeDocument/2006/relationships/footer" Target="footer1.xml"/><Relationship Id="rId49" Type="http://schemas.openxmlformats.org/officeDocument/2006/relationships/image" Target="media/image24.wmf"/><Relationship Id="rId48" Type="http://schemas.openxmlformats.org/officeDocument/2006/relationships/oleObject" Target="embeddings/oleObject17.bin"/><Relationship Id="rId47" Type="http://schemas.openxmlformats.org/officeDocument/2006/relationships/image" Target="media/image23.wmf"/><Relationship Id="rId46" Type="http://schemas.openxmlformats.org/officeDocument/2006/relationships/oleObject" Target="embeddings/oleObject16.bin"/><Relationship Id="rId45" Type="http://schemas.openxmlformats.org/officeDocument/2006/relationships/image" Target="media/image22.wmf"/><Relationship Id="rId44" Type="http://schemas.openxmlformats.org/officeDocument/2006/relationships/oleObject" Target="embeddings/oleObject15.bin"/><Relationship Id="rId43" Type="http://schemas.openxmlformats.org/officeDocument/2006/relationships/image" Target="media/image21.wmf"/><Relationship Id="rId42" Type="http://schemas.openxmlformats.org/officeDocument/2006/relationships/oleObject" Target="embeddings/oleObject14.bin"/><Relationship Id="rId41" Type="http://schemas.openxmlformats.org/officeDocument/2006/relationships/image" Target="media/image20.wmf"/><Relationship Id="rId40" Type="http://schemas.openxmlformats.org/officeDocument/2006/relationships/oleObject" Target="embeddings/oleObject13.bin"/><Relationship Id="rId4" Type="http://schemas.openxmlformats.org/officeDocument/2006/relationships/endnotes" Target="endnotes.xml"/><Relationship Id="rId39" Type="http://schemas.openxmlformats.org/officeDocument/2006/relationships/image" Target="media/image19.wmf"/><Relationship Id="rId38" Type="http://schemas.openxmlformats.org/officeDocument/2006/relationships/oleObject" Target="embeddings/oleObject12.bin"/><Relationship Id="rId37" Type="http://schemas.openxmlformats.org/officeDocument/2006/relationships/image" Target="media/image18.wmf"/><Relationship Id="rId36" Type="http://schemas.openxmlformats.org/officeDocument/2006/relationships/oleObject" Target="embeddings/oleObject11.bin"/><Relationship Id="rId35" Type="http://schemas.openxmlformats.org/officeDocument/2006/relationships/image" Target="media/image17.wmf"/><Relationship Id="rId34" Type="http://schemas.openxmlformats.org/officeDocument/2006/relationships/oleObject" Target="embeddings/oleObject10.bin"/><Relationship Id="rId33" Type="http://schemas.openxmlformats.org/officeDocument/2006/relationships/image" Target="media/image16.wmf"/><Relationship Id="rId32" Type="http://schemas.openxmlformats.org/officeDocument/2006/relationships/oleObject" Target="embeddings/oleObject9.bin"/><Relationship Id="rId31" Type="http://schemas.openxmlformats.org/officeDocument/2006/relationships/image" Target="media/image15.wmf"/><Relationship Id="rId30" Type="http://schemas.openxmlformats.org/officeDocument/2006/relationships/oleObject" Target="embeddings/oleObject8.bin"/><Relationship Id="rId3" Type="http://schemas.openxmlformats.org/officeDocument/2006/relationships/footnotes" Target="footnotes.xml"/><Relationship Id="rId29" Type="http://schemas.openxmlformats.org/officeDocument/2006/relationships/image" Target="media/image14.wmf"/><Relationship Id="rId28" Type="http://schemas.openxmlformats.org/officeDocument/2006/relationships/oleObject" Target="embeddings/oleObject7.bin"/><Relationship Id="rId27" Type="http://schemas.openxmlformats.org/officeDocument/2006/relationships/image" Target="media/image13.wmf"/><Relationship Id="rId26" Type="http://schemas.openxmlformats.org/officeDocument/2006/relationships/oleObject" Target="embeddings/oleObject6.bin"/><Relationship Id="rId25" Type="http://schemas.openxmlformats.org/officeDocument/2006/relationships/image" Target="media/image12.wmf"/><Relationship Id="rId24" Type="http://schemas.openxmlformats.org/officeDocument/2006/relationships/oleObject" Target="embeddings/oleObject5.bin"/><Relationship Id="rId23" Type="http://schemas.openxmlformats.org/officeDocument/2006/relationships/image" Target="media/image11.wmf"/><Relationship Id="rId22" Type="http://schemas.openxmlformats.org/officeDocument/2006/relationships/oleObject" Target="embeddings/oleObject4.bin"/><Relationship Id="rId21" Type="http://schemas.openxmlformats.org/officeDocument/2006/relationships/image" Target="media/image10.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2.bin"/><Relationship Id="rId17" Type="http://schemas.openxmlformats.org/officeDocument/2006/relationships/image" Target="media/image8.wmf"/><Relationship Id="rId16" Type="http://schemas.openxmlformats.org/officeDocument/2006/relationships/oleObject" Target="embeddings/oleObject1.bin"/><Relationship Id="rId15" Type="http://schemas.openxmlformats.org/officeDocument/2006/relationships/image" Target="media/image7.png"/><Relationship Id="rId140" Type="http://schemas.openxmlformats.org/officeDocument/2006/relationships/fontTable" Target="fontTable.xml"/><Relationship Id="rId14" Type="http://schemas.openxmlformats.org/officeDocument/2006/relationships/image" Target="media/image6.png"/><Relationship Id="rId139" Type="http://schemas.openxmlformats.org/officeDocument/2006/relationships/numbering" Target="numbering.xml"/><Relationship Id="rId138" Type="http://schemas.openxmlformats.org/officeDocument/2006/relationships/customXml" Target="../customXml/item1.xml"/><Relationship Id="rId137" Type="http://schemas.openxmlformats.org/officeDocument/2006/relationships/image" Target="media/image80.png"/><Relationship Id="rId136" Type="http://schemas.openxmlformats.org/officeDocument/2006/relationships/image" Target="media/image79.png"/><Relationship Id="rId135" Type="http://schemas.openxmlformats.org/officeDocument/2006/relationships/image" Target="media/image78.png"/><Relationship Id="rId134" Type="http://schemas.openxmlformats.org/officeDocument/2006/relationships/image" Target="media/image77.png"/><Relationship Id="rId133" Type="http://schemas.openxmlformats.org/officeDocument/2006/relationships/image" Target="media/image76.png"/><Relationship Id="rId132" Type="http://schemas.openxmlformats.org/officeDocument/2006/relationships/image" Target="media/image75.png"/><Relationship Id="rId131" Type="http://schemas.openxmlformats.org/officeDocument/2006/relationships/image" Target="media/image74.png"/><Relationship Id="rId130" Type="http://schemas.openxmlformats.org/officeDocument/2006/relationships/image" Target="media/image73.png"/><Relationship Id="rId13" Type="http://schemas.openxmlformats.org/officeDocument/2006/relationships/image" Target="media/image5.png"/><Relationship Id="rId129" Type="http://schemas.openxmlformats.org/officeDocument/2006/relationships/image" Target="media/image72.png"/><Relationship Id="rId128" Type="http://schemas.openxmlformats.org/officeDocument/2006/relationships/image" Target="media/image71.jpeg"/><Relationship Id="rId127" Type="http://schemas.openxmlformats.org/officeDocument/2006/relationships/image" Target="media/image70.jpeg"/><Relationship Id="rId126" Type="http://schemas.openxmlformats.org/officeDocument/2006/relationships/image" Target="media/image69.jpeg"/><Relationship Id="rId125" Type="http://schemas.openxmlformats.org/officeDocument/2006/relationships/image" Target="media/image68.jpeg"/><Relationship Id="rId124" Type="http://schemas.openxmlformats.org/officeDocument/2006/relationships/image" Target="media/image67.png"/><Relationship Id="rId123" Type="http://schemas.openxmlformats.org/officeDocument/2006/relationships/image" Target="media/image66.png"/><Relationship Id="rId122" Type="http://schemas.openxmlformats.org/officeDocument/2006/relationships/image" Target="media/image65.png"/><Relationship Id="rId121" Type="http://schemas.openxmlformats.org/officeDocument/2006/relationships/image" Target="media/image64.png"/><Relationship Id="rId120" Type="http://schemas.openxmlformats.org/officeDocument/2006/relationships/image" Target="media/image63.png"/><Relationship Id="rId12" Type="http://schemas.openxmlformats.org/officeDocument/2006/relationships/image" Target="media/image4.png"/><Relationship Id="rId119" Type="http://schemas.openxmlformats.org/officeDocument/2006/relationships/image" Target="media/image62.jpeg"/><Relationship Id="rId118" Type="http://schemas.openxmlformats.org/officeDocument/2006/relationships/image" Target="media/image61.jpeg"/><Relationship Id="rId117" Type="http://schemas.openxmlformats.org/officeDocument/2006/relationships/image" Target="media/image60.png"/><Relationship Id="rId116" Type="http://schemas.openxmlformats.org/officeDocument/2006/relationships/image" Target="media/image59.png"/><Relationship Id="rId115" Type="http://schemas.openxmlformats.org/officeDocument/2006/relationships/image" Target="media/image58.png"/><Relationship Id="rId114" Type="http://schemas.openxmlformats.org/officeDocument/2006/relationships/image" Target="media/image57.png"/><Relationship Id="rId113" Type="http://schemas.openxmlformats.org/officeDocument/2006/relationships/image" Target="media/image56.jpeg"/><Relationship Id="rId112" Type="http://schemas.openxmlformats.org/officeDocument/2006/relationships/image" Target="media/image55.png"/><Relationship Id="rId111" Type="http://schemas.openxmlformats.org/officeDocument/2006/relationships/image" Target="media/image54.wmf"/><Relationship Id="rId110" Type="http://schemas.openxmlformats.org/officeDocument/2006/relationships/oleObject" Target="embeddings/oleObject49.bin"/><Relationship Id="rId11" Type="http://schemas.openxmlformats.org/officeDocument/2006/relationships/image" Target="media/image3.png"/><Relationship Id="rId109" Type="http://schemas.openxmlformats.org/officeDocument/2006/relationships/image" Target="media/image53.wmf"/><Relationship Id="rId108" Type="http://schemas.openxmlformats.org/officeDocument/2006/relationships/oleObject" Target="embeddings/oleObject48.bin"/><Relationship Id="rId107" Type="http://schemas.openxmlformats.org/officeDocument/2006/relationships/image" Target="media/image52.wmf"/><Relationship Id="rId106" Type="http://schemas.openxmlformats.org/officeDocument/2006/relationships/oleObject" Target="embeddings/oleObject47.bin"/><Relationship Id="rId105" Type="http://schemas.openxmlformats.org/officeDocument/2006/relationships/image" Target="media/image51.wmf"/><Relationship Id="rId104" Type="http://schemas.openxmlformats.org/officeDocument/2006/relationships/image" Target="media/image50.wmf"/><Relationship Id="rId103" Type="http://schemas.openxmlformats.org/officeDocument/2006/relationships/oleObject" Target="embeddings/oleObject46.bin"/><Relationship Id="rId102" Type="http://schemas.openxmlformats.org/officeDocument/2006/relationships/image" Target="media/image49.wmf"/><Relationship Id="rId101" Type="http://schemas.openxmlformats.org/officeDocument/2006/relationships/oleObject" Target="embeddings/oleObject45.bin"/><Relationship Id="rId100" Type="http://schemas.openxmlformats.org/officeDocument/2006/relationships/image" Target="media/image48.wmf"/><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extobjs>
    <extobj name="ECB019B1-382A-4266-B25C-5B523AA43C14-1">
      <extobjdata type="ECB019B1-382A-4266-B25C-5B523AA43C14" data="ewoJIkZpbGVJZCIgOiAiMjM3OTg2NDM2OTkwIiwKCSJHcm91cElkIiA6ICIxNDE1NDE4NzYiLAoJIkltYWdlIiA6ICJpVkJPUncwS0dnb0FBQUFOU1VoRVVnQUFBd0FBQUFRVkNBWUFBQUFGUGEwb0FBQUFDWEJJV1hNQUFBc1RBQUFMRXdFQW1wd1lBQUFnQUVsRVFWUjRuT3pkZDNoVVZmNC84UGVkeWJUTXBQYzI2UW1CQ0dZQTZ5NXJWK3hsM1JYYnFnc290dFZWMXhWMVJWZGwxNEtpb3F3cktvajRROFdPaW9qb0Z3WExrbEFTQ0NtUVFucWJUTy8zOTBjeWNUS1pWRUlTNFAxNkhwL01uSHZ1dWVmR1l6eWZlMDhC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RTL3dQN3h3ZXNKSDZMZ0FBQUFBQkpSVTVFcmtKZ2dnPT0iLAoJIlRoZW1lIiA6ICIiLAoJIlR5cGUiIDogImZsb3ciLAoJIlZlcnNpb24iIDogIjkiCn0K"/>
    </extobj>
    <extobj name="ECB019B1-382A-4266-B25C-5B523AA43C14-2">
      <extobjdata type="ECB019B1-382A-4266-B25C-5B523AA43C14" data="ewoJIkZpbGVJZCIgOiAiMjM3OTg2NDM2OTkwIiwKCSJHcm91cElkIiA6ICIxNDE1NDE4NzYiLAoJIkltYWdlIiA6ICJpVkJPUncwS0dnb0FBQUFOU1VoRVVnQUFBd0FBQUFRVkNBWUFBQUFGUGEwb0FBQUFDWEJJV1hNQUFBc1RBQUFMRXdFQW1wd1lBQUFnQUVsRVFWUjRuT3pkZDNoVVZmNC84UGVkeWJUTXBQYzI2UW1CQ0dZQTZ5NXJWK3hsM1JYYnFnc290dFZWMXhWMVJWZGwxNEtpb3F3cktvajRROFdPaW9qb0Z3WExrbEFTQ0NtUVFucWJUTy8zOTBjeWNUS1pWRUlTNFAxNkhwL01uSHZ1dWVmR1l6eWZlMDhC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hQZ1hFRUFBQUFSU1VSQlZBQUFBQUFBQUFBQUFBQWcvUi9VV09RZS9qRzNsZ0FBQUFCSlJVNUVya0pnZ2c9PSIsCgkiVGhlbWUiIDogIiIsCgkiVHlwZSIgOiAiZmxvdyIsCgkiVmVyc2lvbiIgOiAiMTQiCn0K"/>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wdzx97</Template>
  <Company>微软中国</Company>
  <Pages>47</Pages>
  <Words>25174</Words>
  <Characters>28201</Characters>
  <Lines>278</Lines>
  <Paragraphs>78</Paragraphs>
  <TotalTime>1</TotalTime>
  <ScaleCrop>false</ScaleCrop>
  <LinksUpToDate>false</LinksUpToDate>
  <CharactersWithSpaces>28467</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2020-12-24T01:29:00Z</dcterms:created>
  <dc:creator>lhj</dc:creator>
  <cp:lastModifiedBy>许晓萌</cp:lastModifiedBy>
  <cp:lastPrinted>2021-12-09T04:52:00Z</cp:lastPrinted>
  <dcterms:modified xsi:type="dcterms:W3CDTF">2023-08-24T08:41:14Z</dcterms:modified>
  <dc:title>附件2</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881A35053A0844D7B597265E2551B661_13</vt:lpwstr>
  </property>
</Properties>
</file>