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20"/>
          <w:w w:val="66"/>
          <w:sz w:val="90"/>
          <w:szCs w:val="90"/>
        </w:rPr>
      </w:pPr>
      <w:r>
        <w:rPr>
          <w:rFonts w:hint="eastAsia" w:ascii="仿宋_GB2312" w:hAnsi="微软雅黑" w:eastAsia="仿宋_GB2312"/>
          <w:color w:val="333333"/>
          <w:kern w:val="0"/>
          <w:sz w:val="32"/>
          <w:szCs w:val="32"/>
        </w:rPr>
        <w:t xml:space="preserve">   </w:t>
      </w:r>
      <w:r>
        <w:rPr>
          <w:rFonts w:hint="eastAsia" w:hAnsi="宋体"/>
          <w:b/>
          <w:spacing w:val="-20"/>
          <w:w w:val="66"/>
          <w:sz w:val="90"/>
          <w:szCs w:val="90"/>
        </w:rPr>
        <w:t>秦皇岛经济技术开发区农村工作局</w:t>
      </w:r>
    </w:p>
    <w:p>
      <w:pPr>
        <w:jc w:val="center"/>
        <w:rPr>
          <w:b/>
          <w:spacing w:val="-20"/>
          <w:w w:val="66"/>
          <w:sz w:val="90"/>
          <w:szCs w:val="90"/>
        </w:rPr>
      </w:pPr>
      <w:r>
        <w:rPr>
          <w:b/>
          <w:spacing w:val="-20"/>
          <w:w w:val="66"/>
          <w:sz w:val="90"/>
          <w:szCs w:val="90"/>
        </w:rPr>
        <w:t>201</w:t>
      </w:r>
      <w:r>
        <w:rPr>
          <w:rFonts w:hint="eastAsia"/>
          <w:b/>
          <w:spacing w:val="-20"/>
          <w:w w:val="66"/>
          <w:sz w:val="90"/>
          <w:szCs w:val="90"/>
        </w:rPr>
        <w:t>9</w:t>
      </w:r>
      <w:r>
        <w:rPr>
          <w:rFonts w:hint="eastAsia" w:hAnsi="宋体"/>
          <w:b/>
          <w:spacing w:val="-20"/>
          <w:w w:val="66"/>
          <w:sz w:val="90"/>
          <w:szCs w:val="90"/>
        </w:rPr>
        <w:t>年部门预算</w:t>
      </w:r>
    </w:p>
    <w:p>
      <w:pPr>
        <w:jc w:val="center"/>
        <w:rPr>
          <w:b/>
          <w:spacing w:val="-20"/>
          <w:w w:val="66"/>
          <w:sz w:val="90"/>
          <w:szCs w:val="90"/>
        </w:rPr>
      </w:pPr>
    </w:p>
    <w:p>
      <w:pPr>
        <w:jc w:val="center"/>
        <w:rPr>
          <w:b/>
          <w:spacing w:val="-20"/>
          <w:w w:val="66"/>
          <w:sz w:val="90"/>
          <w:szCs w:val="90"/>
        </w:rPr>
      </w:pPr>
    </w:p>
    <w:p>
      <w:pPr>
        <w:jc w:val="center"/>
        <w:rPr>
          <w:b/>
          <w:spacing w:val="-20"/>
          <w:w w:val="66"/>
          <w:sz w:val="90"/>
          <w:szCs w:val="90"/>
        </w:rPr>
      </w:pPr>
    </w:p>
    <w:p>
      <w:pPr>
        <w:ind w:firstLine="5212" w:firstLineChars="1180"/>
        <w:rPr>
          <w:rFonts w:hAnsi="宋体"/>
          <w:b/>
          <w:sz w:val="44"/>
          <w:szCs w:val="44"/>
        </w:rPr>
      </w:pPr>
    </w:p>
    <w:p>
      <w:pPr>
        <w:ind w:firstLine="5212" w:firstLineChars="1180"/>
        <w:rPr>
          <w:rFonts w:hAnsi="宋体"/>
          <w:b/>
          <w:sz w:val="44"/>
          <w:szCs w:val="44"/>
        </w:rPr>
      </w:pPr>
    </w:p>
    <w:p>
      <w:pPr>
        <w:ind w:firstLine="5212" w:firstLineChars="1180"/>
        <w:rPr>
          <w:b/>
          <w:sz w:val="44"/>
          <w:szCs w:val="44"/>
        </w:rPr>
      </w:pPr>
      <w:r>
        <w:rPr>
          <w:rFonts w:hint="eastAsia" w:hAnsi="宋体"/>
          <w:b/>
          <w:sz w:val="44"/>
          <w:szCs w:val="44"/>
        </w:rPr>
        <w:t>二</w:t>
      </w:r>
      <w:r>
        <w:rPr>
          <w:rFonts w:hint="eastAsia" w:ascii="宋体"/>
          <w:b/>
          <w:sz w:val="44"/>
          <w:szCs w:val="44"/>
        </w:rPr>
        <w:t>○</w:t>
      </w:r>
      <w:r>
        <w:rPr>
          <w:rFonts w:hint="eastAsia" w:hAnsi="宋体"/>
          <w:b/>
          <w:sz w:val="44"/>
          <w:szCs w:val="44"/>
        </w:rPr>
        <w:t>一九年三月</w:t>
      </w:r>
    </w:p>
    <w:p>
      <w:pPr>
        <w:ind w:firstLine="698" w:firstLineChars="158"/>
        <w:jc w:val="center"/>
        <w:rPr>
          <w:b/>
          <w:sz w:val="44"/>
          <w:szCs w:val="44"/>
        </w:rPr>
      </w:pPr>
    </w:p>
    <w:p>
      <w:pPr>
        <w:ind w:firstLine="698" w:firstLineChars="158"/>
        <w:jc w:val="center"/>
        <w:rPr>
          <w:b/>
          <w:sz w:val="44"/>
          <w:szCs w:val="44"/>
        </w:rPr>
      </w:pPr>
    </w:p>
    <w:p>
      <w:pPr>
        <w:jc w:val="center"/>
        <w:rPr>
          <w:rFonts w:hAnsi="宋体"/>
          <w:b/>
          <w:sz w:val="44"/>
          <w:szCs w:val="44"/>
        </w:rPr>
      </w:pPr>
    </w:p>
    <w:p>
      <w:pPr>
        <w:jc w:val="center"/>
        <w:rPr>
          <w:rFonts w:ascii="宋体" w:hAnsi="宋体"/>
          <w:b/>
          <w:sz w:val="44"/>
          <w:szCs w:val="44"/>
        </w:rPr>
      </w:pPr>
      <w:r>
        <w:rPr>
          <w:rFonts w:hint="eastAsia" w:ascii="宋体" w:hAnsi="宋体"/>
          <w:b/>
          <w:sz w:val="44"/>
          <w:szCs w:val="44"/>
        </w:rPr>
        <w:t>目   录</w:t>
      </w:r>
    </w:p>
    <w:p>
      <w:pPr>
        <w:rPr>
          <w:rFonts w:ascii="仿宋" w:hAnsi="仿宋" w:eastAsia="仿宋"/>
          <w:b/>
          <w:sz w:val="32"/>
          <w:szCs w:val="32"/>
        </w:rPr>
      </w:pPr>
    </w:p>
    <w:p>
      <w:pPr>
        <w:numPr>
          <w:ilvl w:val="0"/>
          <w:numId w:val="1"/>
        </w:numPr>
        <w:rPr>
          <w:b/>
          <w:sz w:val="32"/>
          <w:szCs w:val="32"/>
        </w:rPr>
      </w:pPr>
      <w:r>
        <w:rPr>
          <w:b/>
          <w:sz w:val="32"/>
          <w:szCs w:val="32"/>
        </w:rPr>
        <w:t>秦皇岛</w:t>
      </w:r>
      <w:r>
        <w:rPr>
          <w:rFonts w:hint="eastAsia"/>
          <w:b/>
          <w:sz w:val="32"/>
          <w:szCs w:val="32"/>
        </w:rPr>
        <w:t>经济技术开发区农业部门</w:t>
      </w:r>
      <w:r>
        <w:rPr>
          <w:b/>
          <w:sz w:val="32"/>
          <w:szCs w:val="32"/>
        </w:rPr>
        <w:t>201</w:t>
      </w:r>
      <w:r>
        <w:rPr>
          <w:rFonts w:hint="eastAsia"/>
          <w:b/>
          <w:sz w:val="32"/>
          <w:szCs w:val="32"/>
        </w:rPr>
        <w:t>9</w:t>
      </w:r>
      <w:r>
        <w:rPr>
          <w:b/>
          <w:sz w:val="32"/>
          <w:szCs w:val="32"/>
        </w:rPr>
        <w:t>年度</w:t>
      </w:r>
      <w:r>
        <w:rPr>
          <w:rFonts w:hint="eastAsia"/>
          <w:b/>
          <w:sz w:val="32"/>
          <w:szCs w:val="32"/>
        </w:rPr>
        <w:t>部门预算情况说明</w:t>
      </w:r>
    </w:p>
    <w:p>
      <w:pPr>
        <w:ind w:firstLine="640" w:firstLineChars="200"/>
        <w:rPr>
          <w:rFonts w:ascii="宋体" w:hAnsi="宋体"/>
          <w:kern w:val="0"/>
          <w:sz w:val="32"/>
          <w:szCs w:val="32"/>
        </w:rPr>
      </w:pPr>
      <w:r>
        <w:rPr>
          <w:rFonts w:ascii="宋体" w:hAnsi="宋体"/>
          <w:kern w:val="0"/>
          <w:sz w:val="32"/>
          <w:szCs w:val="32"/>
        </w:rPr>
        <w:t>第一部分</w:t>
      </w:r>
      <w:r>
        <w:rPr>
          <w:rFonts w:hint="eastAsia" w:ascii="宋体" w:hAnsi="宋体"/>
          <w:kern w:val="0"/>
          <w:sz w:val="32"/>
          <w:szCs w:val="32"/>
        </w:rPr>
        <w:t xml:space="preserve"> </w:t>
      </w:r>
      <w:r>
        <w:rPr>
          <w:rFonts w:ascii="宋体" w:hAnsi="宋体"/>
          <w:kern w:val="0"/>
          <w:sz w:val="32"/>
          <w:szCs w:val="32"/>
        </w:rPr>
        <w:t>部门职责</w:t>
      </w:r>
      <w:r>
        <w:rPr>
          <w:rFonts w:hint="eastAsia" w:ascii="宋体" w:hAnsi="宋体"/>
          <w:kern w:val="0"/>
          <w:sz w:val="32"/>
          <w:szCs w:val="32"/>
        </w:rPr>
        <w:t>及机构设置情况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二</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部门预算安排的总体情况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三</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机关运行经费安排情况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四</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财政拨款“三公”经费预算情况及增减变化原因</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五</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绩效预算信息情况</w:t>
      </w:r>
    </w:p>
    <w:p>
      <w:pPr>
        <w:ind w:firstLine="640" w:firstLineChars="200"/>
        <w:rPr>
          <w:rFonts w:ascii="宋体" w:hAnsi="宋体"/>
          <w:sz w:val="32"/>
          <w:szCs w:val="32"/>
        </w:rPr>
      </w:pPr>
      <w:r>
        <w:rPr>
          <w:rFonts w:hint="eastAsia" w:ascii="宋体" w:hAnsi="宋体"/>
          <w:sz w:val="32"/>
          <w:szCs w:val="32"/>
        </w:rPr>
        <w:t>第六部分 政府采购预算情况</w:t>
      </w:r>
    </w:p>
    <w:p>
      <w:pPr>
        <w:ind w:firstLine="640" w:firstLineChars="200"/>
        <w:rPr>
          <w:rFonts w:ascii="宋体" w:hAnsi="宋体"/>
          <w:sz w:val="32"/>
          <w:szCs w:val="32"/>
        </w:rPr>
      </w:pPr>
      <w:r>
        <w:rPr>
          <w:rFonts w:hint="eastAsia" w:ascii="宋体" w:hAnsi="宋体"/>
          <w:sz w:val="32"/>
          <w:szCs w:val="32"/>
        </w:rPr>
        <w:t xml:space="preserve">第七部分 </w:t>
      </w:r>
      <w:r>
        <w:rPr>
          <w:rFonts w:ascii="宋体" w:hAnsi="宋体"/>
          <w:sz w:val="32"/>
          <w:szCs w:val="32"/>
        </w:rPr>
        <w:t>国有资产信息</w:t>
      </w:r>
    </w:p>
    <w:p>
      <w:pPr>
        <w:ind w:firstLine="640" w:firstLineChars="200"/>
        <w:rPr>
          <w:rFonts w:ascii="宋体" w:hAnsi="宋体"/>
          <w:sz w:val="32"/>
          <w:szCs w:val="32"/>
        </w:rPr>
      </w:pPr>
      <w:r>
        <w:rPr>
          <w:rFonts w:hint="eastAsia" w:ascii="宋体" w:hAnsi="宋体"/>
          <w:sz w:val="32"/>
          <w:szCs w:val="32"/>
        </w:rPr>
        <w:t>第八部分 名词解释</w:t>
      </w:r>
    </w:p>
    <w:p>
      <w:pPr>
        <w:ind w:firstLine="640" w:firstLineChars="200"/>
        <w:rPr>
          <w:rFonts w:ascii="宋体" w:hAnsi="宋体"/>
          <w:spacing w:val="-16"/>
          <w:kern w:val="0"/>
          <w:sz w:val="32"/>
          <w:szCs w:val="32"/>
        </w:rPr>
      </w:pPr>
      <w:r>
        <w:rPr>
          <w:rFonts w:hint="eastAsia" w:ascii="宋体" w:hAnsi="宋体"/>
          <w:sz w:val="32"/>
          <w:szCs w:val="32"/>
        </w:rPr>
        <w:t>第九部分 其他需要说明的事项</w:t>
      </w:r>
    </w:p>
    <w:p>
      <w:pPr>
        <w:rPr>
          <w:rFonts w:ascii="宋体" w:hAnsi="宋体"/>
          <w:spacing w:val="-16"/>
          <w:kern w:val="0"/>
          <w:sz w:val="32"/>
          <w:szCs w:val="32"/>
        </w:rPr>
      </w:pPr>
    </w:p>
    <w:p>
      <w:pPr>
        <w:rPr>
          <w:b/>
          <w:sz w:val="32"/>
          <w:szCs w:val="32"/>
        </w:rPr>
      </w:pPr>
    </w:p>
    <w:p>
      <w:pPr>
        <w:rPr>
          <w:b/>
          <w:sz w:val="32"/>
          <w:szCs w:val="32"/>
        </w:rPr>
      </w:pPr>
      <w:r>
        <w:rPr>
          <w:rFonts w:hint="eastAsia"/>
          <w:b/>
          <w:sz w:val="32"/>
          <w:szCs w:val="32"/>
        </w:rPr>
        <w:t>二、</w:t>
      </w:r>
      <w:r>
        <w:rPr>
          <w:b/>
          <w:sz w:val="32"/>
          <w:szCs w:val="32"/>
        </w:rPr>
        <w:t>秦皇岛</w:t>
      </w:r>
      <w:r>
        <w:rPr>
          <w:rFonts w:hint="eastAsia"/>
          <w:b/>
          <w:sz w:val="32"/>
          <w:szCs w:val="32"/>
        </w:rPr>
        <w:t>经济技术开发区农业部门</w:t>
      </w:r>
      <w:r>
        <w:rPr>
          <w:b/>
          <w:sz w:val="32"/>
          <w:szCs w:val="32"/>
        </w:rPr>
        <w:t>201</w:t>
      </w:r>
      <w:r>
        <w:rPr>
          <w:rFonts w:hint="eastAsia"/>
          <w:b/>
          <w:sz w:val="32"/>
          <w:szCs w:val="32"/>
        </w:rPr>
        <w:t>9</w:t>
      </w:r>
      <w:r>
        <w:rPr>
          <w:b/>
          <w:sz w:val="32"/>
          <w:szCs w:val="32"/>
        </w:rPr>
        <w:t>年度部门</w:t>
      </w:r>
      <w:r>
        <w:rPr>
          <w:rFonts w:hint="eastAsia"/>
          <w:b/>
          <w:sz w:val="32"/>
          <w:szCs w:val="32"/>
        </w:rPr>
        <w:t>预算公开</w:t>
      </w:r>
      <w:r>
        <w:rPr>
          <w:b/>
          <w:sz w:val="32"/>
          <w:szCs w:val="32"/>
        </w:rPr>
        <w:t>表</w:t>
      </w:r>
    </w:p>
    <w:p>
      <w:pPr>
        <w:numPr>
          <w:ilvl w:val="0"/>
          <w:numId w:val="2"/>
        </w:numPr>
        <w:rPr>
          <w:rFonts w:ascii="宋体" w:hAnsi="宋体"/>
          <w:kern w:val="0"/>
          <w:sz w:val="32"/>
          <w:szCs w:val="32"/>
        </w:rPr>
      </w:pPr>
      <w:r>
        <w:rPr>
          <w:rFonts w:hint="eastAsia" w:ascii="宋体" w:hAnsi="宋体"/>
          <w:kern w:val="0"/>
          <w:sz w:val="32"/>
          <w:szCs w:val="32"/>
        </w:rPr>
        <w:t>部门预算收支</w:t>
      </w:r>
      <w:r>
        <w:rPr>
          <w:rFonts w:ascii="宋体" w:hAnsi="宋体"/>
          <w:kern w:val="0"/>
          <w:sz w:val="32"/>
          <w:szCs w:val="32"/>
        </w:rPr>
        <w:t>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预算收入总表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预算支出总表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预算财政拨款收支总表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预算一般公共预算财政拨款基本支出表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预算政府性基金预算财政拨款支出表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w:t>
      </w:r>
      <w:r>
        <w:rPr>
          <w:rFonts w:hint="eastAsia" w:ascii="宋体" w:hAnsi="宋体"/>
          <w:kern w:val="0"/>
          <w:sz w:val="32"/>
          <w:szCs w:val="32"/>
        </w:rPr>
        <w:t>国有资本经营预算</w:t>
      </w:r>
      <w:r>
        <w:rPr>
          <w:rFonts w:ascii="宋体" w:hAnsi="宋体"/>
          <w:kern w:val="0"/>
          <w:sz w:val="32"/>
          <w:szCs w:val="32"/>
        </w:rPr>
        <w:t>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预算财政拨款“三公”经费支出预算总表</w:t>
      </w:r>
    </w:p>
    <w:p>
      <w:pPr>
        <w:ind w:left="840"/>
        <w:rPr>
          <w:rFonts w:ascii="宋体" w:hAnsi="宋体"/>
          <w:kern w:val="0"/>
          <w:sz w:val="32"/>
          <w:szCs w:val="32"/>
        </w:rPr>
      </w:pPr>
      <w:r>
        <w:rPr>
          <w:rFonts w:hint="eastAsia" w:ascii="宋体" w:hAnsi="宋体"/>
          <w:kern w:val="0"/>
          <w:sz w:val="32"/>
          <w:szCs w:val="32"/>
        </w:rPr>
        <w:t>(以上九张公开表格见2019年农业部门预算公开表)</w:t>
      </w:r>
    </w:p>
    <w:p>
      <w:pPr>
        <w:pStyle w:val="2"/>
        <w:shd w:val="clear" w:color="auto" w:fill="FFFFFF"/>
        <w:spacing w:before="0" w:beforeAutospacing="0" w:after="0" w:afterAutospacing="0" w:line="351" w:lineRule="atLeast"/>
        <w:jc w:val="center"/>
        <w:rPr>
          <w:rFonts w:ascii="仿宋" w:hAnsi="仿宋" w:eastAsia="仿宋"/>
          <w:color w:val="333333"/>
          <w:sz w:val="32"/>
          <w:szCs w:val="32"/>
        </w:rPr>
      </w:pPr>
      <w:r>
        <w:rPr>
          <w:rFonts w:hint="eastAsia" w:ascii="仿宋" w:hAnsi="仿宋" w:eastAsia="仿宋"/>
          <w:color w:val="333333"/>
          <w:kern w:val="0"/>
          <w:sz w:val="32"/>
          <w:szCs w:val="32"/>
        </w:rPr>
        <w:t xml:space="preserve">   </w:t>
      </w:r>
    </w:p>
    <w:p>
      <w:pPr>
        <w:widowControl/>
        <w:shd w:val="clear" w:color="auto" w:fill="FFFFFF"/>
        <w:spacing w:line="421" w:lineRule="atLeast"/>
        <w:ind w:firstLine="640"/>
        <w:jc w:val="left"/>
        <w:rPr>
          <w:rFonts w:ascii="仿宋" w:hAnsi="仿宋" w:eastAsia="仿宋" w:cs="宋体"/>
          <w:color w:val="333333"/>
          <w:kern w:val="0"/>
          <w:sz w:val="32"/>
          <w:szCs w:val="32"/>
        </w:rPr>
      </w:pPr>
    </w:p>
    <w:p>
      <w:pPr>
        <w:widowControl/>
        <w:spacing w:line="550" w:lineRule="exact"/>
        <w:ind w:firstLine="3213" w:firstLineChars="1000"/>
        <w:jc w:val="left"/>
        <w:rPr>
          <w:rFonts w:hAnsi="黑体" w:eastAsia="黑体"/>
          <w:b/>
          <w:kern w:val="0"/>
          <w:sz w:val="32"/>
          <w:szCs w:val="32"/>
        </w:rPr>
      </w:pPr>
    </w:p>
    <w:p>
      <w:pPr>
        <w:widowControl/>
        <w:spacing w:line="550" w:lineRule="exact"/>
        <w:ind w:firstLine="3213" w:firstLineChars="1000"/>
        <w:jc w:val="left"/>
        <w:rPr>
          <w:rFonts w:hAnsi="黑体" w:eastAsia="黑体"/>
          <w:b/>
          <w:kern w:val="0"/>
          <w:sz w:val="32"/>
          <w:szCs w:val="32"/>
        </w:rPr>
      </w:pPr>
    </w:p>
    <w:p>
      <w:pPr>
        <w:widowControl/>
        <w:spacing w:line="550" w:lineRule="exact"/>
        <w:ind w:firstLine="3213" w:firstLineChars="1000"/>
        <w:jc w:val="left"/>
        <w:rPr>
          <w:rFonts w:hAnsi="黑体" w:eastAsia="黑体"/>
          <w:b/>
          <w:kern w:val="0"/>
          <w:sz w:val="32"/>
          <w:szCs w:val="32"/>
        </w:rPr>
      </w:pPr>
    </w:p>
    <w:p>
      <w:pPr>
        <w:jc w:val="center"/>
        <w:rPr>
          <w:rFonts w:hAnsi="黑体" w:eastAsia="黑体"/>
          <w:kern w:val="0"/>
          <w:sz w:val="44"/>
          <w:szCs w:val="44"/>
        </w:rPr>
      </w:pPr>
      <w:r>
        <w:rPr>
          <w:rFonts w:hAnsi="黑体" w:eastAsia="黑体"/>
          <w:kern w:val="0"/>
          <w:sz w:val="44"/>
          <w:szCs w:val="44"/>
        </w:rPr>
        <w:t>秦</w:t>
      </w:r>
      <w:r>
        <w:rPr>
          <w:rFonts w:hAnsi="黑体" w:eastAsia="黑体"/>
          <w:spacing w:val="-8"/>
          <w:kern w:val="0"/>
          <w:sz w:val="44"/>
          <w:szCs w:val="44"/>
        </w:rPr>
        <w:t>皇岛</w:t>
      </w:r>
      <w:r>
        <w:rPr>
          <w:rFonts w:hint="eastAsia" w:hAnsi="黑体" w:eastAsia="黑体"/>
          <w:kern w:val="0"/>
          <w:sz w:val="44"/>
          <w:szCs w:val="44"/>
        </w:rPr>
        <w:t>经济技术开发区农业部门</w:t>
      </w:r>
      <w:r>
        <w:rPr>
          <w:rFonts w:eastAsia="黑体"/>
          <w:spacing w:val="-8"/>
          <w:kern w:val="0"/>
          <w:sz w:val="44"/>
          <w:szCs w:val="44"/>
        </w:rPr>
        <w:t>201</w:t>
      </w:r>
      <w:r>
        <w:rPr>
          <w:rFonts w:hint="eastAsia" w:eastAsia="黑体"/>
          <w:spacing w:val="-8"/>
          <w:kern w:val="0"/>
          <w:sz w:val="44"/>
          <w:szCs w:val="44"/>
        </w:rPr>
        <w:t>9</w:t>
      </w:r>
      <w:r>
        <w:rPr>
          <w:rFonts w:hAnsi="黑体" w:eastAsia="黑体"/>
          <w:spacing w:val="-8"/>
          <w:kern w:val="0"/>
          <w:sz w:val="44"/>
          <w:szCs w:val="44"/>
        </w:rPr>
        <w:t>年度</w:t>
      </w:r>
      <w:r>
        <w:rPr>
          <w:rFonts w:hint="eastAsia" w:hAnsi="黑体" w:eastAsia="黑体"/>
          <w:kern w:val="0"/>
          <w:sz w:val="44"/>
          <w:szCs w:val="44"/>
        </w:rPr>
        <w:t>预算信息公开</w:t>
      </w:r>
    </w:p>
    <w:p>
      <w:pPr>
        <w:widowControl/>
        <w:spacing w:line="550" w:lineRule="exact"/>
        <w:ind w:firstLine="3213" w:firstLineChars="1000"/>
        <w:jc w:val="left"/>
        <w:rPr>
          <w:rFonts w:hAnsi="黑体" w:eastAsia="黑体"/>
          <w:b/>
          <w:kern w:val="0"/>
          <w:sz w:val="32"/>
          <w:szCs w:val="32"/>
        </w:rPr>
      </w:pPr>
    </w:p>
    <w:p>
      <w:pPr>
        <w:widowControl/>
        <w:spacing w:line="550" w:lineRule="exact"/>
        <w:ind w:firstLine="630" w:firstLineChars="196"/>
        <w:jc w:val="left"/>
        <w:rPr>
          <w:rFonts w:eastAsia="黑体"/>
          <w:b/>
          <w:kern w:val="0"/>
          <w:sz w:val="32"/>
          <w:szCs w:val="32"/>
        </w:rPr>
      </w:pPr>
      <w:r>
        <w:rPr>
          <w:rFonts w:hint="eastAsia" w:hAnsi="黑体" w:eastAsia="黑体"/>
          <w:b/>
          <w:kern w:val="0"/>
          <w:sz w:val="32"/>
          <w:szCs w:val="32"/>
        </w:rPr>
        <w:t xml:space="preserve">第一部分  </w:t>
      </w:r>
      <w:r>
        <w:rPr>
          <w:rFonts w:hint="eastAsia" w:ascii="仿宋" w:hAnsi="仿宋" w:eastAsia="仿宋"/>
          <w:b/>
          <w:kern w:val="0"/>
          <w:sz w:val="32"/>
          <w:szCs w:val="32"/>
        </w:rPr>
        <w:t>部门职责及机构设置等基本情况</w:t>
      </w:r>
    </w:p>
    <w:p>
      <w:pPr>
        <w:pStyle w:val="3"/>
        <w:spacing w:beforeLines="50" w:line="550" w:lineRule="exact"/>
        <w:rPr>
          <w:rFonts w:ascii="黑体" w:eastAsia="黑体"/>
        </w:rPr>
      </w:pPr>
      <w:r>
        <w:rPr>
          <w:rFonts w:hint="eastAsia" w:ascii="黑体" w:eastAsia="黑体"/>
        </w:rPr>
        <w:t>一、主要职责</w:t>
      </w:r>
    </w:p>
    <w:p>
      <w:pPr>
        <w:spacing w:line="560" w:lineRule="exact"/>
        <w:ind w:firstLine="560" w:firstLineChars="200"/>
        <w:rPr>
          <w:rFonts w:eastAsia="仿宋_GB2312"/>
          <w:sz w:val="32"/>
          <w:szCs w:val="32"/>
        </w:rPr>
      </w:pPr>
      <w:bookmarkStart w:id="0" w:name="_Toc440539051"/>
      <w:bookmarkStart w:id="1" w:name="_Toc409510386"/>
      <w:bookmarkStart w:id="2" w:name="_Toc409510371"/>
      <w:r>
        <w:rPr>
          <w:rFonts w:eastAsia="仿宋_GB2312"/>
          <w:sz w:val="28"/>
          <w:szCs w:val="28"/>
        </w:rPr>
        <w:t>1</w:t>
      </w:r>
      <w:r>
        <w:rPr>
          <w:rFonts w:hint="eastAsia" w:eastAsia="仿宋_GB2312"/>
          <w:sz w:val="28"/>
          <w:szCs w:val="28"/>
        </w:rPr>
        <w:t>．</w:t>
      </w:r>
      <w:r>
        <w:rPr>
          <w:rFonts w:hint="eastAsia" w:eastAsia="仿宋_GB2312"/>
          <w:sz w:val="32"/>
          <w:szCs w:val="32"/>
        </w:rPr>
        <w:t>协调指导农村经济健康发展，着力促进农民收入持续较快增长。通过实施美丽乡村建设，加快建设社会主义新农村。</w:t>
      </w:r>
    </w:p>
    <w:bookmarkEnd w:id="0"/>
    <w:p>
      <w:pPr>
        <w:spacing w:line="560" w:lineRule="exact"/>
        <w:ind w:firstLine="640" w:firstLineChars="200"/>
        <w:rPr>
          <w:rFonts w:eastAsia="方正小标宋_GBK"/>
          <w:sz w:val="32"/>
          <w:szCs w:val="32"/>
        </w:rPr>
      </w:pPr>
      <w:bookmarkStart w:id="3" w:name="_Toc440539052"/>
      <w:r>
        <w:rPr>
          <w:rFonts w:eastAsia="仿宋_GB2312"/>
          <w:sz w:val="32"/>
          <w:szCs w:val="32"/>
        </w:rPr>
        <w:t>2</w:t>
      </w:r>
      <w:r>
        <w:rPr>
          <w:rFonts w:hint="eastAsia" w:eastAsia="仿宋_GB2312"/>
          <w:sz w:val="32"/>
          <w:szCs w:val="32"/>
        </w:rPr>
        <w:t>．负责全区农业产业化工作，参与农村重大经济项目的谋划和农业产业结构调整。</w:t>
      </w:r>
      <w:bookmarkEnd w:id="3"/>
    </w:p>
    <w:p>
      <w:pPr>
        <w:spacing w:line="560" w:lineRule="exact"/>
        <w:ind w:firstLine="640" w:firstLineChars="200"/>
        <w:rPr>
          <w:rFonts w:eastAsia="仿宋_GB2312"/>
          <w:sz w:val="32"/>
          <w:szCs w:val="32"/>
        </w:rPr>
      </w:pPr>
      <w:bookmarkStart w:id="4" w:name="_Toc440539053"/>
      <w:r>
        <w:rPr>
          <w:rFonts w:eastAsia="仿宋_GB2312"/>
          <w:sz w:val="32"/>
          <w:szCs w:val="32"/>
        </w:rPr>
        <w:t>3</w:t>
      </w:r>
      <w:r>
        <w:rPr>
          <w:rFonts w:hint="eastAsia" w:eastAsia="仿宋_GB2312"/>
          <w:sz w:val="32"/>
          <w:szCs w:val="32"/>
        </w:rPr>
        <w:t>．</w:t>
      </w:r>
      <w:bookmarkEnd w:id="4"/>
      <w:bookmarkStart w:id="5" w:name="_Toc440539054"/>
      <w:r>
        <w:rPr>
          <w:rFonts w:hint="eastAsia" w:eastAsia="仿宋_GB2312"/>
          <w:sz w:val="32"/>
          <w:szCs w:val="32"/>
        </w:rPr>
        <w:t>贯彻落实上级关于“三农”工作的决策部署，研究制定全区农业农村工作政策文件，对全区“三农”工作进行安排部署。</w:t>
      </w:r>
    </w:p>
    <w:p>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bookmarkEnd w:id="1"/>
      <w:bookmarkEnd w:id="2"/>
      <w:bookmarkEnd w:id="5"/>
      <w:r>
        <w:rPr>
          <w:rFonts w:hint="eastAsia" w:eastAsia="仿宋_GB2312"/>
          <w:sz w:val="32"/>
          <w:szCs w:val="32"/>
        </w:rPr>
        <w:t>推进农村集体产权制度改革，完善农村土地承包制度，引导农村土地合理流转。创新农业经营主体。</w:t>
      </w:r>
    </w:p>
    <w:p>
      <w:pPr>
        <w:spacing w:line="560" w:lineRule="exact"/>
        <w:ind w:firstLine="640" w:firstLineChars="200"/>
        <w:rPr>
          <w:rFonts w:eastAsia="仿宋_GB2312"/>
          <w:sz w:val="32"/>
          <w:szCs w:val="32"/>
        </w:rPr>
      </w:pPr>
      <w:r>
        <w:rPr>
          <w:rFonts w:hint="eastAsia" w:eastAsia="仿宋_GB2312"/>
          <w:sz w:val="32"/>
          <w:szCs w:val="32"/>
        </w:rPr>
        <w:t>5.</w:t>
      </w:r>
      <w:r>
        <w:rPr>
          <w:rFonts w:hint="eastAsia"/>
          <w:sz w:val="32"/>
          <w:szCs w:val="32"/>
        </w:rPr>
        <w:t xml:space="preserve"> </w:t>
      </w:r>
      <w:r>
        <w:rPr>
          <w:rFonts w:hint="eastAsia" w:eastAsia="仿宋_GB2312"/>
          <w:sz w:val="32"/>
          <w:szCs w:val="32"/>
        </w:rPr>
        <w:t xml:space="preserve"> 落实水库移民政策，扶持移民发展生产，保持移民稳定。</w:t>
      </w:r>
    </w:p>
    <w:p>
      <w:pPr>
        <w:spacing w:line="560" w:lineRule="exact"/>
        <w:ind w:firstLine="640" w:firstLineChars="200"/>
        <w:rPr>
          <w:rFonts w:eastAsia="仿宋_GB2312"/>
          <w:sz w:val="32"/>
          <w:szCs w:val="32"/>
        </w:rPr>
      </w:pPr>
      <w:r>
        <w:rPr>
          <w:rFonts w:hint="eastAsia" w:eastAsia="仿宋_GB2312"/>
          <w:sz w:val="32"/>
          <w:szCs w:val="32"/>
        </w:rPr>
        <w:t>6. 指导植树造林、森林经营和林业基地建设；负责全区林木良种选育、引种及林木种质资源管理，制定全区造林绿化计划；按照上级下达的年度计划，组织实施退耕还林。组织指导全区林业及其生态建设的科技创新和技术示范推广，为林业生态发展和林产品生产提供公共支撑。</w:t>
      </w:r>
    </w:p>
    <w:p>
      <w:pPr>
        <w:spacing w:line="560" w:lineRule="exact"/>
        <w:ind w:firstLine="640" w:firstLineChars="200"/>
        <w:rPr>
          <w:rFonts w:eastAsia="仿宋_GB2312"/>
          <w:sz w:val="32"/>
          <w:szCs w:val="32"/>
        </w:rPr>
      </w:pPr>
      <w:r>
        <w:rPr>
          <w:rFonts w:hint="eastAsia" w:eastAsia="仿宋_GB2312"/>
          <w:sz w:val="32"/>
          <w:szCs w:val="32"/>
        </w:rPr>
        <w:t>7. 负责农林渔畜牧农经等行业方面的正常信访、非访、突发性及群体性事件的办理；提供相关服务保障；协助区信访局处理农村群众进京上访。</w:t>
      </w:r>
    </w:p>
    <w:p>
      <w:pPr>
        <w:spacing w:line="560" w:lineRule="exact"/>
        <w:ind w:firstLine="640" w:firstLineChars="200"/>
        <w:rPr>
          <w:rFonts w:eastAsia="仿宋_GB2312"/>
          <w:sz w:val="32"/>
          <w:szCs w:val="32"/>
        </w:rPr>
      </w:pPr>
      <w:r>
        <w:rPr>
          <w:rFonts w:hint="eastAsia" w:eastAsia="仿宋_GB2312"/>
          <w:sz w:val="32"/>
          <w:szCs w:val="32"/>
        </w:rPr>
        <w:t>8. 监督检查禁渔期违规出海作业渔船，对在本辖区违规作业渔船进行查处，参与省市联合执法检查，验船师对辖区登记在册渔船进行检验，安全生产检查、进出港签证、发布禁渔禁航通知。</w:t>
      </w:r>
    </w:p>
    <w:p>
      <w:pPr>
        <w:spacing w:line="560" w:lineRule="exact"/>
        <w:ind w:firstLine="640" w:firstLineChars="200"/>
        <w:rPr>
          <w:rFonts w:eastAsia="仿宋_GB2312"/>
          <w:sz w:val="32"/>
          <w:szCs w:val="32"/>
        </w:rPr>
      </w:pPr>
      <w:r>
        <w:rPr>
          <w:rFonts w:hint="eastAsia" w:eastAsia="仿宋_GB2312"/>
          <w:sz w:val="32"/>
          <w:szCs w:val="32"/>
        </w:rPr>
        <w:t>9. 在全区范围内补贴推广生物质炉具，实现农作物秸秆的高效能源化利用，推动农村厨房改造，解决秸秆乱堆乱放问题，减少大气污染排放，增加农村清洁能源供应；开展农业生物有机缓释肥推广工作。</w:t>
      </w:r>
    </w:p>
    <w:p>
      <w:pPr>
        <w:spacing w:line="560" w:lineRule="exact"/>
        <w:ind w:firstLine="640" w:firstLineChars="200"/>
        <w:rPr>
          <w:rFonts w:eastAsia="仿宋_GB2312"/>
          <w:sz w:val="32"/>
          <w:szCs w:val="32"/>
        </w:rPr>
      </w:pPr>
      <w:r>
        <w:rPr>
          <w:rFonts w:hint="eastAsia" w:eastAsia="仿宋_GB2312"/>
          <w:sz w:val="32"/>
          <w:szCs w:val="32"/>
        </w:rPr>
        <w:t>10. 提高农业机械化水平，建立健全农业科技服务和防灾减灾体系，推动农业生产向现代农业发展。</w:t>
      </w:r>
    </w:p>
    <w:p>
      <w:pPr>
        <w:spacing w:line="560" w:lineRule="exact"/>
        <w:ind w:firstLine="640" w:firstLineChars="200"/>
        <w:rPr>
          <w:rFonts w:eastAsia="仿宋_GB2312"/>
          <w:sz w:val="32"/>
          <w:szCs w:val="32"/>
        </w:rPr>
      </w:pPr>
      <w:r>
        <w:rPr>
          <w:rFonts w:hint="eastAsia" w:eastAsia="仿宋_GB2312"/>
          <w:sz w:val="32"/>
          <w:szCs w:val="32"/>
        </w:rPr>
        <w:t>11. 推动农村精神文明建设，创建精神文明新农村</w:t>
      </w:r>
    </w:p>
    <w:p>
      <w:pPr>
        <w:widowControl/>
        <w:shd w:val="clear" w:color="auto" w:fill="FFFFFF"/>
        <w:spacing w:line="421" w:lineRule="atLeast"/>
        <w:ind w:firstLine="640" w:firstLineChars="200"/>
        <w:jc w:val="left"/>
        <w:rPr>
          <w:rFonts w:ascii="微软雅黑" w:hAnsi="微软雅黑" w:eastAsia="微软雅黑" w:cs="宋体"/>
          <w:color w:val="333333"/>
          <w:kern w:val="0"/>
          <w:sz w:val="32"/>
          <w:szCs w:val="32"/>
        </w:rPr>
      </w:pPr>
      <w:r>
        <w:rPr>
          <w:rFonts w:hint="eastAsia" w:eastAsia="仿宋_GB2312"/>
          <w:sz w:val="32"/>
          <w:szCs w:val="32"/>
        </w:rPr>
        <w:t>12. 负责无害化处理的监督工作，组织开展全区的防疫和消毒灭源工作；落实兽药、饲料的管理条例，建立兽药饲料的管理体系；到产地实施现场检疫；落实春秋重大动物疫病兽医器材发放工作。</w:t>
      </w:r>
    </w:p>
    <w:p>
      <w:pPr>
        <w:pStyle w:val="3"/>
        <w:spacing w:beforeLines="50" w:line="550" w:lineRule="exact"/>
        <w:rPr>
          <w:rFonts w:ascii="黑体" w:eastAsia="黑体"/>
        </w:rPr>
      </w:pPr>
      <w:r>
        <w:rPr>
          <w:rFonts w:hint="eastAsia" w:ascii="黑体" w:eastAsia="黑体"/>
        </w:rPr>
        <w:t>二、</w:t>
      </w:r>
      <w:r>
        <w:rPr>
          <w:rFonts w:ascii="黑体" w:eastAsia="黑体"/>
        </w:rPr>
        <w:t>部门</w:t>
      </w:r>
      <w:r>
        <w:rPr>
          <w:rFonts w:hint="eastAsia" w:ascii="黑体" w:eastAsia="黑体"/>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51"/>
        <w:gridCol w:w="1789"/>
        <w:gridCol w:w="2030"/>
        <w:gridCol w:w="3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6451"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789"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030"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904" w:type="dxa"/>
            <w:vMerge w:val="restart"/>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6451" w:type="dxa"/>
            <w:vMerge w:val="continue"/>
            <w:vAlign w:val="center"/>
          </w:tcPr>
          <w:p>
            <w:pPr>
              <w:spacing w:line="300" w:lineRule="exact"/>
              <w:jc w:val="left"/>
              <w:outlineLvl w:val="0"/>
            </w:pPr>
          </w:p>
        </w:tc>
        <w:tc>
          <w:tcPr>
            <w:tcW w:w="1789" w:type="dxa"/>
            <w:vMerge w:val="continue"/>
            <w:vAlign w:val="center"/>
          </w:tcPr>
          <w:p>
            <w:pPr>
              <w:spacing w:line="300" w:lineRule="exact"/>
              <w:jc w:val="left"/>
              <w:outlineLvl w:val="0"/>
            </w:pPr>
          </w:p>
        </w:tc>
        <w:tc>
          <w:tcPr>
            <w:tcW w:w="2030" w:type="dxa"/>
            <w:vMerge w:val="continue"/>
            <w:vAlign w:val="center"/>
          </w:tcPr>
          <w:p>
            <w:pPr>
              <w:spacing w:line="300" w:lineRule="exact"/>
              <w:jc w:val="left"/>
              <w:outlineLvl w:val="0"/>
            </w:pPr>
          </w:p>
        </w:tc>
        <w:tc>
          <w:tcPr>
            <w:tcW w:w="3904"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451"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789" w:type="dxa"/>
            <w:vAlign w:val="center"/>
          </w:tcPr>
          <w:p>
            <w:pPr>
              <w:spacing w:line="300" w:lineRule="exact"/>
              <w:jc w:val="center"/>
              <w:rPr>
                <w:rFonts w:ascii="方正书宋_GBK" w:eastAsia="方正书宋_GBK"/>
                <w:b/>
              </w:rPr>
            </w:pPr>
          </w:p>
        </w:tc>
        <w:tc>
          <w:tcPr>
            <w:tcW w:w="2030" w:type="dxa"/>
            <w:vAlign w:val="center"/>
          </w:tcPr>
          <w:p>
            <w:pPr>
              <w:spacing w:line="300" w:lineRule="exact"/>
              <w:jc w:val="center"/>
              <w:rPr>
                <w:rFonts w:ascii="方正书宋_GBK" w:eastAsia="方正书宋_GBK"/>
                <w:b/>
              </w:rPr>
            </w:pPr>
          </w:p>
        </w:tc>
        <w:tc>
          <w:tcPr>
            <w:tcW w:w="3904" w:type="dxa"/>
            <w:vAlign w:val="center"/>
          </w:tcPr>
          <w:p>
            <w:pPr>
              <w:spacing w:line="300" w:lineRule="exact"/>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451" w:type="dxa"/>
            <w:vAlign w:val="center"/>
          </w:tcPr>
          <w:p>
            <w:pPr>
              <w:spacing w:line="300" w:lineRule="exact"/>
              <w:jc w:val="left"/>
              <w:rPr>
                <w:rFonts w:ascii="方正书宋_GBK" w:eastAsia="方正书宋_GBK"/>
              </w:rPr>
            </w:pPr>
            <w:r>
              <w:rPr>
                <w:rFonts w:hint="eastAsia" w:ascii="方正书宋_GBK" w:eastAsia="方正书宋_GBK"/>
              </w:rPr>
              <w:t>秦皇岛经济技术开发区农村工作局</w:t>
            </w:r>
          </w:p>
        </w:tc>
        <w:tc>
          <w:tcPr>
            <w:tcW w:w="1789" w:type="dxa"/>
            <w:vAlign w:val="center"/>
          </w:tcPr>
          <w:p>
            <w:pPr>
              <w:spacing w:line="300" w:lineRule="exact"/>
              <w:jc w:val="center"/>
              <w:rPr>
                <w:rFonts w:ascii="方正书宋_GBK" w:eastAsia="方正书宋_GBK"/>
              </w:rPr>
            </w:pPr>
            <w:r>
              <w:rPr>
                <w:rFonts w:hint="eastAsia" w:ascii="方正书宋_GBK" w:eastAsia="方正书宋_GBK"/>
              </w:rPr>
              <w:t>参公</w:t>
            </w:r>
          </w:p>
        </w:tc>
        <w:tc>
          <w:tcPr>
            <w:tcW w:w="2030" w:type="dxa"/>
            <w:vAlign w:val="center"/>
          </w:tcPr>
          <w:p>
            <w:pPr>
              <w:spacing w:line="300" w:lineRule="exact"/>
              <w:jc w:val="center"/>
              <w:rPr>
                <w:rFonts w:ascii="方正书宋_GBK" w:eastAsia="方正书宋_GBK"/>
              </w:rPr>
            </w:pPr>
            <w:r>
              <w:rPr>
                <w:rFonts w:hint="eastAsia" w:ascii="方正书宋_GBK" w:eastAsia="方正书宋_GBK"/>
              </w:rPr>
              <w:t>正科级</w:t>
            </w:r>
          </w:p>
        </w:tc>
        <w:tc>
          <w:tcPr>
            <w:tcW w:w="3904" w:type="dxa"/>
            <w:vAlign w:val="center"/>
          </w:tcPr>
          <w:p>
            <w:pPr>
              <w:spacing w:line="300" w:lineRule="exact"/>
              <w:jc w:val="center"/>
              <w:rPr>
                <w:rFonts w:ascii="方正书宋_GBK" w:eastAsia="方正书宋_GBK"/>
              </w:rPr>
            </w:pPr>
            <w:r>
              <w:rPr>
                <w:rFonts w:hint="eastAsia" w:ascii="方正书宋_GBK" w:eastAsia="方正书宋_GBK"/>
              </w:rPr>
              <w:t>财政性资金全额补助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451" w:type="dxa"/>
            <w:vAlign w:val="center"/>
          </w:tcPr>
          <w:p>
            <w:pPr>
              <w:spacing w:line="300" w:lineRule="exact"/>
              <w:jc w:val="left"/>
              <w:rPr>
                <w:rFonts w:ascii="方正书宋_GBK" w:eastAsia="方正书宋_GBK"/>
              </w:rPr>
            </w:pPr>
            <w:r>
              <w:rPr>
                <w:rFonts w:hint="eastAsia" w:ascii="方正书宋_GBK" w:eastAsia="方正书宋_GBK"/>
              </w:rPr>
              <w:t>秦皇岛经济技术开发区动物卫生监督所</w:t>
            </w:r>
          </w:p>
        </w:tc>
        <w:tc>
          <w:tcPr>
            <w:tcW w:w="1789" w:type="dxa"/>
            <w:vAlign w:val="center"/>
          </w:tcPr>
          <w:p>
            <w:pPr>
              <w:spacing w:line="300" w:lineRule="exact"/>
              <w:jc w:val="center"/>
              <w:rPr>
                <w:rFonts w:ascii="方正书宋_GBK" w:eastAsia="方正书宋_GBK"/>
              </w:rPr>
            </w:pPr>
            <w:r>
              <w:rPr>
                <w:rFonts w:hint="eastAsia" w:ascii="方正书宋_GBK" w:eastAsia="方正书宋_GBK"/>
              </w:rPr>
              <w:t>事业</w:t>
            </w:r>
          </w:p>
        </w:tc>
        <w:tc>
          <w:tcPr>
            <w:tcW w:w="2030" w:type="dxa"/>
            <w:vAlign w:val="center"/>
          </w:tcPr>
          <w:p>
            <w:pPr>
              <w:spacing w:line="300" w:lineRule="exact"/>
              <w:jc w:val="center"/>
              <w:rPr>
                <w:rFonts w:ascii="方正书宋_GBK" w:eastAsia="方正书宋_GBK"/>
              </w:rPr>
            </w:pPr>
            <w:r>
              <w:rPr>
                <w:rFonts w:hint="eastAsia" w:ascii="方正书宋_GBK" w:eastAsia="方正书宋_GBK"/>
              </w:rPr>
              <w:t>股级</w:t>
            </w:r>
          </w:p>
        </w:tc>
        <w:tc>
          <w:tcPr>
            <w:tcW w:w="3904" w:type="dxa"/>
            <w:vAlign w:val="center"/>
          </w:tcPr>
          <w:p>
            <w:pPr>
              <w:spacing w:line="300" w:lineRule="exact"/>
              <w:jc w:val="center"/>
              <w:rPr>
                <w:rFonts w:ascii="方正书宋_GBK" w:eastAsia="方正书宋_GBK"/>
              </w:rPr>
            </w:pPr>
            <w:r>
              <w:rPr>
                <w:rFonts w:hint="eastAsia" w:ascii="方正书宋_GBK" w:eastAsia="方正书宋_GBK"/>
              </w:rPr>
              <w:t>财政性资金全额补助</w:t>
            </w:r>
          </w:p>
        </w:tc>
      </w:tr>
    </w:tbl>
    <w:p>
      <w:pPr>
        <w:widowControl/>
        <w:shd w:val="clear" w:color="auto" w:fill="FFFFFF"/>
        <w:spacing w:line="421" w:lineRule="atLeast"/>
        <w:ind w:firstLine="803" w:firstLineChars="250"/>
        <w:rPr>
          <w:rFonts w:ascii="黑体" w:hAnsi="黑体" w:eastAsia="黑体" w:cs="宋体"/>
          <w:color w:val="333333"/>
          <w:kern w:val="0"/>
          <w:sz w:val="32"/>
          <w:szCs w:val="32"/>
        </w:rPr>
      </w:pPr>
      <w:r>
        <w:rPr>
          <w:rFonts w:hint="eastAsia" w:hAnsi="黑体" w:eastAsia="黑体"/>
          <w:b/>
          <w:kern w:val="0"/>
          <w:sz w:val="32"/>
          <w:szCs w:val="32"/>
        </w:rPr>
        <w:t>第二部分</w:t>
      </w:r>
      <w:r>
        <w:rPr>
          <w:rFonts w:hint="eastAsia" w:ascii="黑体" w:hAnsi="黑体" w:eastAsia="黑体" w:cs="宋体"/>
          <w:color w:val="333333"/>
          <w:kern w:val="0"/>
          <w:sz w:val="32"/>
          <w:szCs w:val="32"/>
        </w:rPr>
        <w:t xml:space="preserve">  部门预算安排总体情况</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按照预算管理有关规定，我部门预算总体情况如下：</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1、收入说明</w:t>
      </w:r>
    </w:p>
    <w:p>
      <w:pPr>
        <w:widowControl/>
        <w:shd w:val="clear" w:color="auto" w:fill="FFFFFF"/>
        <w:spacing w:line="421" w:lineRule="atLeast"/>
        <w:ind w:firstLine="64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2019年，我部门含动物卫生监督所预算总收入为4,097.17万元，一般公共预算拨款3,893.17万元，基金预算拨款204万元。其中农村工作局3,894.71万元，动物卫生监督所202.46万元。</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2、支出说明</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2019我部门预算支出分基本支出和项目支出，基本支出为591.41万元（其中人员经费为424.39万元；日常公用经费为167.02万元）、项目支出为3,505.76万元（本级支出3,505.76万元）。</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3、比上年增减情况</w:t>
      </w:r>
    </w:p>
    <w:p>
      <w:pPr>
        <w:widowControl/>
        <w:shd w:val="clear" w:color="auto" w:fill="FFFFFF"/>
        <w:spacing w:line="421" w:lineRule="atLeast"/>
        <w:ind w:firstLine="64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（1）2019年，我部门含动物卫生监督所预算总收入为4,097.17万元，一般公共预算拨款3,893.17万元，基金预算拨款204万元。其中农村工作局3,894.71万元，动物卫生监督所202.46万元。</w:t>
      </w:r>
    </w:p>
    <w:p>
      <w:pPr>
        <w:widowControl/>
        <w:shd w:val="clear" w:color="auto" w:fill="FFFFFF"/>
        <w:spacing w:line="421" w:lineRule="atLeast"/>
        <w:ind w:firstLine="800" w:firstLineChars="25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2019我部门预算支出分基本支出和项目支出，基本支出为591.41万元（其中人员经费为424.39万元；日常公用经费为167.02万元）、项目支出为3,505.76万元（本级支出3,505.76万元）。</w:t>
      </w:r>
    </w:p>
    <w:p>
      <w:pPr>
        <w:widowControl/>
        <w:shd w:val="clear" w:color="auto" w:fill="FFFFFF"/>
        <w:spacing w:line="421" w:lineRule="atLeast"/>
        <w:ind w:firstLine="64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（2）2018年，我部门含动物卫生监督所预算总收入为4,247.37万元，均为一般公共预算拨款。其中农村工作局4,047.59万元，动物卫生监督所199.78万元。</w:t>
      </w:r>
    </w:p>
    <w:p>
      <w:pPr>
        <w:widowControl/>
        <w:shd w:val="clear" w:color="auto" w:fill="FFFFFF"/>
        <w:spacing w:line="421" w:lineRule="atLeast"/>
        <w:ind w:firstLine="800" w:firstLineChars="25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2018我部门预算支出分基本支出和项目支出，基本支出为635.97万元（其中人员经费为443.40万元；日常公用经费为192.57万元）、项目支出为3,611.40万元（本级支出3,611.40万元）。</w:t>
      </w:r>
    </w:p>
    <w:p>
      <w:pPr>
        <w:widowControl/>
        <w:shd w:val="clear" w:color="auto" w:fill="FFFFFF"/>
        <w:spacing w:line="421"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（3）2019年相比2018年预算收入减少150.20万元， 2019年相比2018年预算支出减少150.20万元，其中基本支出减少了44.56万元 ，项目支出增加105.64万元。     </w:t>
      </w:r>
    </w:p>
    <w:p>
      <w:pPr>
        <w:ind w:firstLine="643" w:firstLineChars="200"/>
        <w:rPr>
          <w:rFonts w:ascii="仿宋" w:hAnsi="仿宋" w:eastAsia="仿宋"/>
          <w:b/>
          <w:sz w:val="32"/>
          <w:szCs w:val="32"/>
        </w:rPr>
      </w:pPr>
      <w:r>
        <w:rPr>
          <w:rFonts w:hint="eastAsia" w:ascii="黑体" w:hAnsi="黑体" w:eastAsia="黑体" w:cs="宋体"/>
          <w:b/>
          <w:bCs/>
          <w:color w:val="333333"/>
          <w:kern w:val="0"/>
          <w:sz w:val="32"/>
          <w:szCs w:val="32"/>
        </w:rPr>
        <w:t>增减原因为：</w:t>
      </w:r>
      <w:r>
        <w:rPr>
          <w:rFonts w:hint="eastAsia" w:ascii="仿宋_GB2312" w:hAnsi="微软雅黑" w:eastAsia="仿宋_GB2312" w:cs="宋体"/>
          <w:color w:val="333333"/>
          <w:kern w:val="0"/>
          <w:sz w:val="32"/>
          <w:szCs w:val="32"/>
        </w:rPr>
        <w:t>其中人员经费减少了19.01万元，因人员减少了4人，3人退休1人调出，工资和各种保险相应减少；日常公用经费减少了25.55万元，因劳务派遣人员减少劳务费相应减少；因2019年渔政站划归国土局管理，所以2019年比2018年项目支出减少了105.64万元。</w:t>
      </w:r>
    </w:p>
    <w:p>
      <w:pPr>
        <w:widowControl/>
        <w:shd w:val="clear" w:color="auto" w:fill="FFFFFF"/>
        <w:spacing w:line="421" w:lineRule="atLeast"/>
        <w:ind w:firstLine="790" w:firstLineChars="246"/>
        <w:rPr>
          <w:rFonts w:ascii="微软雅黑" w:hAnsi="微软雅黑" w:eastAsia="微软雅黑" w:cs="宋体"/>
          <w:color w:val="333333"/>
          <w:kern w:val="0"/>
          <w:sz w:val="25"/>
          <w:szCs w:val="25"/>
        </w:rPr>
      </w:pPr>
      <w:r>
        <w:rPr>
          <w:rFonts w:hint="eastAsia" w:hAnsi="黑体" w:eastAsia="黑体"/>
          <w:b/>
          <w:kern w:val="0"/>
          <w:sz w:val="32"/>
          <w:szCs w:val="32"/>
        </w:rPr>
        <w:t xml:space="preserve">第三部分  </w:t>
      </w:r>
      <w:r>
        <w:rPr>
          <w:rFonts w:hint="eastAsia" w:ascii="黑体" w:hAnsi="黑体" w:eastAsia="黑体" w:cs="宋体"/>
          <w:color w:val="333333"/>
          <w:kern w:val="0"/>
          <w:sz w:val="32"/>
          <w:szCs w:val="32"/>
        </w:rPr>
        <w:t>机关运行经费安排情况</w:t>
      </w:r>
    </w:p>
    <w:p>
      <w:pPr>
        <w:widowControl/>
        <w:shd w:val="clear" w:color="auto" w:fill="FFFFFF"/>
        <w:spacing w:line="421" w:lineRule="atLeast"/>
        <w:ind w:left="198"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机关运行经费共计安排167.02万元，用途见下表。</w:t>
      </w:r>
    </w:p>
    <w:tbl>
      <w:tblPr>
        <w:tblStyle w:val="6"/>
        <w:tblW w:w="13436" w:type="dxa"/>
        <w:tblInd w:w="817" w:type="dxa"/>
        <w:shd w:val="clear" w:color="auto" w:fill="FFFFFF"/>
        <w:tblLayout w:type="fixed"/>
        <w:tblCellMar>
          <w:top w:w="0" w:type="dxa"/>
          <w:left w:w="108" w:type="dxa"/>
          <w:bottom w:w="0" w:type="dxa"/>
          <w:right w:w="108" w:type="dxa"/>
        </w:tblCellMar>
      </w:tblPr>
      <w:tblGrid>
        <w:gridCol w:w="2548"/>
        <w:gridCol w:w="7182"/>
        <w:gridCol w:w="3706"/>
      </w:tblGrid>
      <w:tr>
        <w:tblPrEx>
          <w:shd w:val="clear" w:color="auto" w:fill="FFFFFF"/>
          <w:tblCellMar>
            <w:top w:w="0" w:type="dxa"/>
            <w:left w:w="108" w:type="dxa"/>
            <w:bottom w:w="0" w:type="dxa"/>
            <w:right w:w="108" w:type="dxa"/>
          </w:tblCellMar>
        </w:tblPrEx>
        <w:trPr>
          <w:trHeight w:val="879" w:hRule="atLeast"/>
        </w:trPr>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黑体" w:hAnsi="黑体" w:eastAsia="黑体" w:cs="宋体"/>
                <w:color w:val="333333"/>
                <w:kern w:val="0"/>
                <w:szCs w:val="21"/>
              </w:rPr>
              <w:t>经济分类科目编码</w:t>
            </w:r>
          </w:p>
        </w:tc>
        <w:tc>
          <w:tcPr>
            <w:tcW w:w="7182" w:type="dxa"/>
            <w:tcBorders>
              <w:top w:val="single" w:color="000000" w:sz="4" w:space="0"/>
              <w:left w:val="nil"/>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黑体" w:hAnsi="黑体" w:eastAsia="黑体" w:cs="宋体"/>
                <w:color w:val="333333"/>
                <w:kern w:val="0"/>
                <w:szCs w:val="21"/>
              </w:rPr>
              <w:t>科目名称</w:t>
            </w:r>
          </w:p>
        </w:tc>
        <w:tc>
          <w:tcPr>
            <w:tcW w:w="3706" w:type="dxa"/>
            <w:tcBorders>
              <w:top w:val="single" w:color="000000" w:sz="4" w:space="0"/>
              <w:left w:val="nil"/>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黑体" w:hAnsi="黑体" w:eastAsia="黑体" w:cs="宋体"/>
                <w:color w:val="333333"/>
                <w:kern w:val="0"/>
                <w:szCs w:val="21"/>
              </w:rPr>
              <w:t>合计</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仿宋_GB2312" w:hAnsi="微软雅黑" w:eastAsia="仿宋_GB2312" w:cs="宋体"/>
                <w:b/>
                <w:bCs/>
                <w:color w:val="333333"/>
                <w:kern w:val="0"/>
                <w:sz w:val="24"/>
              </w:rPr>
              <w:t>1</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仿宋_GB2312" w:hAnsi="微软雅黑" w:eastAsia="仿宋_GB2312" w:cs="宋体"/>
                <w:b/>
                <w:bCs/>
                <w:color w:val="333333"/>
                <w:kern w:val="0"/>
                <w:sz w:val="24"/>
              </w:rPr>
              <w:t>2</w:t>
            </w:r>
          </w:p>
        </w:tc>
        <w:tc>
          <w:tcPr>
            <w:tcW w:w="3706" w:type="dxa"/>
            <w:tcBorders>
              <w:top w:val="nil"/>
              <w:left w:val="nil"/>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仿宋_GB2312" w:hAnsi="微软雅黑" w:eastAsia="仿宋_GB2312" w:cs="宋体"/>
                <w:b/>
                <w:bCs/>
                <w:color w:val="333333"/>
                <w:kern w:val="0"/>
                <w:sz w:val="24"/>
              </w:rPr>
              <w:t>3</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　</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center"/>
              <w:rPr>
                <w:rFonts w:ascii="微软雅黑" w:hAnsi="微软雅黑" w:eastAsia="微软雅黑" w:cs="宋体"/>
                <w:color w:val="333333"/>
                <w:kern w:val="0"/>
                <w:sz w:val="25"/>
                <w:szCs w:val="25"/>
              </w:rPr>
            </w:pPr>
            <w:r>
              <w:rPr>
                <w:rFonts w:hint="eastAsia" w:ascii="仿宋_GB2312" w:hAnsi="微软雅黑" w:eastAsia="仿宋_GB2312" w:cs="宋体"/>
                <w:b/>
                <w:bCs/>
                <w:color w:val="333333"/>
                <w:kern w:val="0"/>
                <w:sz w:val="24"/>
              </w:rPr>
              <w:t>合计</w:t>
            </w:r>
          </w:p>
        </w:tc>
        <w:tc>
          <w:tcPr>
            <w:tcW w:w="3706" w:type="dxa"/>
            <w:tcBorders>
              <w:top w:val="nil"/>
              <w:left w:val="nil"/>
              <w:bottom w:val="single" w:color="000000" w:sz="4" w:space="0"/>
              <w:right w:val="single" w:color="000000" w:sz="4" w:space="0"/>
            </w:tcBorders>
            <w:shd w:val="clear" w:color="auto" w:fill="FFFFFF"/>
            <w:vAlign w:val="center"/>
          </w:tcPr>
          <w:p>
            <w:pPr>
              <w:widowControl/>
              <w:spacing w:line="421" w:lineRule="atLeast"/>
              <w:jc w:val="right"/>
              <w:rPr>
                <w:rFonts w:ascii="微软雅黑" w:hAnsi="微软雅黑" w:eastAsia="微软雅黑" w:cs="宋体"/>
                <w:color w:val="333333"/>
                <w:kern w:val="0"/>
                <w:sz w:val="25"/>
                <w:szCs w:val="25"/>
              </w:rPr>
            </w:pPr>
            <w:r>
              <w:rPr>
                <w:rFonts w:hint="eastAsia" w:ascii="仿宋_GB2312" w:hAnsi="微软雅黑" w:eastAsia="仿宋_GB2312" w:cs="宋体"/>
                <w:b/>
                <w:bCs/>
                <w:color w:val="333333"/>
                <w:kern w:val="0"/>
                <w:sz w:val="24"/>
              </w:rPr>
              <w:t>167.02</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商品和服务支出</w:t>
            </w:r>
          </w:p>
        </w:tc>
        <w:tc>
          <w:tcPr>
            <w:tcW w:w="3706" w:type="dxa"/>
            <w:tcBorders>
              <w:top w:val="nil"/>
              <w:left w:val="nil"/>
              <w:bottom w:val="single" w:color="000000" w:sz="4" w:space="0"/>
              <w:right w:val="single" w:color="000000" w:sz="4" w:space="0"/>
            </w:tcBorders>
            <w:shd w:val="clear" w:color="auto" w:fill="FFFFFF"/>
            <w:vAlign w:val="center"/>
          </w:tcPr>
          <w:p>
            <w:pPr>
              <w:widowControl/>
              <w:spacing w:line="421" w:lineRule="atLeast"/>
              <w:jc w:val="right"/>
              <w:rPr>
                <w:rFonts w:ascii="仿宋" w:hAnsi="仿宋" w:eastAsia="仿宋" w:cs="宋体"/>
                <w:color w:val="333333"/>
                <w:kern w:val="0"/>
                <w:sz w:val="25"/>
                <w:szCs w:val="25"/>
              </w:rPr>
            </w:pPr>
            <w:r>
              <w:rPr>
                <w:rFonts w:hint="eastAsia" w:ascii="仿宋" w:hAnsi="仿宋" w:eastAsia="仿宋" w:cs="宋体"/>
                <w:color w:val="333333"/>
                <w:kern w:val="0"/>
                <w:sz w:val="25"/>
                <w:szCs w:val="25"/>
              </w:rPr>
              <w:t>167.02</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30201</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办公费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5.4</w:t>
            </w:r>
          </w:p>
        </w:tc>
      </w:tr>
      <w:tr>
        <w:tblPrEx>
          <w:tblCellMar>
            <w:top w:w="0" w:type="dxa"/>
            <w:left w:w="108" w:type="dxa"/>
            <w:bottom w:w="0" w:type="dxa"/>
            <w:right w:w="108" w:type="dxa"/>
          </w:tblCellMar>
        </w:tblPrEx>
        <w:trPr>
          <w:trHeight w:val="695" w:hRule="atLeast"/>
        </w:trPr>
        <w:tc>
          <w:tcPr>
            <w:tcW w:w="254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30202</w:t>
            </w:r>
          </w:p>
        </w:tc>
        <w:tc>
          <w:tcPr>
            <w:tcW w:w="7182" w:type="dxa"/>
            <w:tcBorders>
              <w:top w:val="single" w:color="auto" w:sz="4" w:space="0"/>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印刷费</w:t>
            </w:r>
          </w:p>
        </w:tc>
        <w:tc>
          <w:tcPr>
            <w:tcW w:w="3706" w:type="dxa"/>
            <w:tcBorders>
              <w:top w:val="single" w:color="auto" w:sz="4" w:space="0"/>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0.97</w:t>
            </w:r>
          </w:p>
        </w:tc>
      </w:tr>
      <w:tr>
        <w:trPr>
          <w:trHeight w:val="593" w:hRule="atLeast"/>
        </w:trPr>
        <w:tc>
          <w:tcPr>
            <w:tcW w:w="254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30207</w:t>
            </w:r>
          </w:p>
        </w:tc>
        <w:tc>
          <w:tcPr>
            <w:tcW w:w="7182" w:type="dxa"/>
            <w:tcBorders>
              <w:top w:val="single" w:color="auto" w:sz="4" w:space="0"/>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邮电费</w:t>
            </w:r>
          </w:p>
        </w:tc>
        <w:tc>
          <w:tcPr>
            <w:tcW w:w="3706" w:type="dxa"/>
            <w:tcBorders>
              <w:top w:val="single" w:color="auto" w:sz="4" w:space="0"/>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11.84</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30211</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差旅费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3.12</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30213</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维修(护)费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0.29</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30216</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培训费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3.10</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30217</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公务接待费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4"/>
              </w:rPr>
            </w:pPr>
            <w:r>
              <w:rPr>
                <w:rFonts w:hint="eastAsia"/>
                <w:color w:val="000000"/>
              </w:rPr>
              <w:t>0.45</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仿宋_GB2312" w:hAnsi="微软雅黑" w:eastAsia="仿宋_GB2312" w:cs="宋体"/>
                <w:color w:val="333333"/>
                <w:kern w:val="0"/>
                <w:sz w:val="24"/>
              </w:rPr>
            </w:pPr>
            <w:r>
              <w:rPr>
                <w:rFonts w:hint="eastAsia" w:ascii="仿宋_GB2312" w:hAnsi="微软雅黑" w:eastAsia="仿宋_GB2312" w:cs="宋体"/>
                <w:color w:val="333333"/>
                <w:kern w:val="0"/>
                <w:sz w:val="24"/>
              </w:rPr>
              <w:t>30226</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仿宋_GB2312" w:hAnsi="微软雅黑" w:eastAsia="仿宋_GB2312" w:cs="宋体"/>
                <w:color w:val="333333"/>
                <w:kern w:val="0"/>
                <w:sz w:val="24"/>
              </w:rPr>
            </w:pPr>
            <w:r>
              <w:rPr>
                <w:rFonts w:hint="eastAsia" w:ascii="仿宋_GB2312" w:hAnsi="微软雅黑" w:eastAsia="仿宋_GB2312" w:cs="宋体"/>
                <w:color w:val="333333"/>
                <w:kern w:val="0"/>
                <w:sz w:val="24"/>
              </w:rPr>
              <w:t>劳务费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109.35</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30228</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工会经费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4.14</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30229</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福利费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2.55</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30231</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公务用车运行维护费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12.1</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30239</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其他交通费用</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12.06</w:t>
            </w:r>
          </w:p>
        </w:tc>
      </w:tr>
      <w:tr>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30299</w:t>
            </w:r>
          </w:p>
        </w:tc>
        <w:tc>
          <w:tcPr>
            <w:tcW w:w="7182" w:type="dxa"/>
            <w:tcBorders>
              <w:top w:val="nil"/>
              <w:left w:val="nil"/>
              <w:bottom w:val="single" w:color="000000" w:sz="4" w:space="0"/>
              <w:right w:val="single" w:color="000000" w:sz="4" w:space="0"/>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24"/>
              </w:rPr>
              <w:t>其他商品和服务支出</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1.65</w:t>
            </w:r>
          </w:p>
        </w:tc>
      </w:tr>
    </w:tbl>
    <w:p>
      <w:pPr>
        <w:widowControl/>
        <w:shd w:val="clear" w:color="auto" w:fill="FFFFFF"/>
        <w:spacing w:line="421" w:lineRule="atLeast"/>
        <w:ind w:left="198" w:firstLine="640"/>
        <w:jc w:val="center"/>
        <w:rPr>
          <w:rFonts w:hAnsi="黑体" w:eastAsia="黑体"/>
          <w:b/>
          <w:kern w:val="0"/>
          <w:sz w:val="32"/>
          <w:szCs w:val="32"/>
        </w:rPr>
      </w:pPr>
    </w:p>
    <w:p>
      <w:pPr>
        <w:widowControl/>
        <w:shd w:val="clear" w:color="auto" w:fill="FFFFFF"/>
        <w:spacing w:line="421" w:lineRule="atLeast"/>
        <w:ind w:left="198" w:firstLine="640"/>
        <w:rPr>
          <w:rFonts w:ascii="黑体" w:hAnsi="黑体" w:eastAsia="黑体" w:cs="宋体"/>
          <w:color w:val="333333"/>
          <w:kern w:val="0"/>
          <w:sz w:val="32"/>
          <w:szCs w:val="32"/>
        </w:rPr>
      </w:pPr>
      <w:r>
        <w:rPr>
          <w:rFonts w:hint="eastAsia" w:hAnsi="黑体" w:eastAsia="黑体"/>
          <w:b/>
          <w:kern w:val="0"/>
          <w:sz w:val="32"/>
          <w:szCs w:val="32"/>
        </w:rPr>
        <w:t xml:space="preserve">第四部分  </w:t>
      </w:r>
      <w:r>
        <w:rPr>
          <w:rFonts w:hint="eastAsia" w:ascii="黑体" w:hAnsi="黑体" w:eastAsia="黑体" w:cs="宋体"/>
          <w:color w:val="333333"/>
          <w:kern w:val="0"/>
          <w:sz w:val="32"/>
          <w:szCs w:val="32"/>
        </w:rPr>
        <w:t>财政拨款“三公”经费预算情况</w:t>
      </w:r>
    </w:p>
    <w:p>
      <w:pPr>
        <w:widowControl/>
        <w:shd w:val="clear" w:color="auto" w:fill="FFFFFF"/>
        <w:spacing w:line="421" w:lineRule="atLeast"/>
        <w:ind w:left="198"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2019年，财政拨款“三公”经费预算安排12.55万元，公务用车购置及运行维护费12.10万元（其中：公务用车购置费为0，公务用车运行维护费12.10万元)；公务接待费0.45万元。2018年，财政拨款“三公”经费预算安排12.62万元，公务用车购置及运行维护费12.10万元（其中：公务用车购置费为0，公务用车运行维护费12.10万元)；公务接待费0.45万元。与2018年相比,公务用车购置均为0，原因是2018年2019年未安排此项预算；公务用车运行维护费无变化均为12.10万元原因：公务用车数量无变化且公务用车定额无变化，公务接待费2019年减少了0.07万元，原因：严格落实党政机关厉行节约、反对浪费条例规定，规范公务接待行为，压减了公务接待预算。</w:t>
      </w:r>
    </w:p>
    <w:p>
      <w:pPr>
        <w:spacing w:line="550" w:lineRule="exact"/>
        <w:ind w:firstLine="608" w:firstLineChars="200"/>
        <w:jc w:val="left"/>
        <w:rPr>
          <w:rFonts w:hAnsi="黑体" w:eastAsia="黑体"/>
          <w:spacing w:val="-8"/>
          <w:kern w:val="0"/>
          <w:sz w:val="32"/>
          <w:szCs w:val="32"/>
        </w:rPr>
      </w:pPr>
    </w:p>
    <w:p>
      <w:pPr>
        <w:ind w:firstLine="630" w:firstLineChars="196"/>
        <w:rPr>
          <w:rFonts w:hAnsi="黑体" w:eastAsia="黑体"/>
          <w:b/>
          <w:kern w:val="0"/>
          <w:sz w:val="32"/>
          <w:szCs w:val="32"/>
        </w:rPr>
      </w:pPr>
      <w:r>
        <w:rPr>
          <w:rFonts w:hint="eastAsia" w:hAnsi="黑体" w:eastAsia="黑体"/>
          <w:b/>
          <w:kern w:val="0"/>
          <w:sz w:val="32"/>
          <w:szCs w:val="32"/>
        </w:rPr>
        <w:t>第五部分  绩效预算信息</w:t>
      </w:r>
    </w:p>
    <w:p>
      <w:pPr>
        <w:jc w:val="left"/>
        <w:rPr>
          <w:rFonts w:ascii="方正楷体_GBK"/>
          <w:sz w:val="28"/>
        </w:rPr>
      </w:pPr>
      <w:r>
        <w:rPr>
          <w:rFonts w:hint="eastAsia" w:ascii="方正楷体_GBK" w:eastAsia="方正楷体_GBK"/>
          <w:sz w:val="28"/>
        </w:rPr>
        <w:t>总体目标：</w:t>
      </w:r>
    </w:p>
    <w:p>
      <w:pPr>
        <w:ind w:firstLine="560"/>
        <w:rPr>
          <w:rFonts w:ascii="方正仿宋_GBK" w:eastAsia="方正仿宋_GBK"/>
          <w:sz w:val="28"/>
        </w:rPr>
      </w:pPr>
      <w:r>
        <w:rPr>
          <w:rFonts w:ascii="方正仿宋_GBK" w:eastAsia="方正仿宋_GBK"/>
          <w:sz w:val="28"/>
        </w:rPr>
        <w:t>201</w:t>
      </w:r>
      <w:r>
        <w:rPr>
          <w:rFonts w:hint="eastAsia" w:ascii="方正仿宋_GBK" w:eastAsia="方正仿宋_GBK"/>
          <w:sz w:val="28"/>
        </w:rPr>
        <w:t>9</w:t>
      </w:r>
      <w:r>
        <w:rPr>
          <w:rFonts w:ascii="方正仿宋_GBK" w:eastAsia="方正仿宋_GBK"/>
          <w:sz w:val="28"/>
        </w:rPr>
        <w:t>年我局将继续坚持创新、协调、绿色、开放、共享发展理念，继续加强城乡一体化发展的攻坚战，加快农村改革步伐，推进新型城镇化与美丽乡村建设双轮驱动，确保乡村治理迈上新台阶，保证农业农村形势持续向好，农民持续增收。</w:t>
      </w:r>
    </w:p>
    <w:p>
      <w:pPr>
        <w:ind w:firstLine="560"/>
        <w:rPr>
          <w:rFonts w:ascii="方正仿宋_GBK" w:eastAsia="方正仿宋_GBK"/>
          <w:sz w:val="28"/>
        </w:rPr>
      </w:pPr>
      <w:r>
        <w:rPr>
          <w:rFonts w:ascii="方正仿宋_GBK" w:eastAsia="方正仿宋_GBK"/>
          <w:sz w:val="28"/>
        </w:rPr>
        <w:t xml:space="preserve">一、着力提高农业现代化发展水平    </w:t>
      </w:r>
    </w:p>
    <w:p>
      <w:pPr>
        <w:ind w:firstLine="560"/>
        <w:rPr>
          <w:rFonts w:ascii="方正仿宋_GBK" w:eastAsia="方正仿宋_GBK"/>
          <w:sz w:val="28"/>
        </w:rPr>
      </w:pPr>
      <w:r>
        <w:rPr>
          <w:rFonts w:ascii="方正仿宋_GBK" w:eastAsia="方正仿宋_GBK"/>
          <w:sz w:val="28"/>
        </w:rPr>
        <w:t xml:space="preserve">着力加强农业供给侧结构性改革，牢固树立大农业观，重点发展现代种业和休闲观光农业，构建一二三产业融合发展的现代化农业模式。    </w:t>
      </w:r>
    </w:p>
    <w:p>
      <w:pPr>
        <w:ind w:firstLine="560"/>
        <w:rPr>
          <w:rFonts w:ascii="方正仿宋_GBK" w:eastAsia="方正仿宋_GBK"/>
          <w:sz w:val="28"/>
        </w:rPr>
      </w:pPr>
      <w:r>
        <w:rPr>
          <w:rFonts w:ascii="方正仿宋_GBK" w:eastAsia="方正仿宋_GBK"/>
          <w:sz w:val="28"/>
        </w:rPr>
        <w:t xml:space="preserve">一是加快农业种植结构调整，减少大田玉米种植面积，引导广大农民群众种植高附加值、高产值经济作物，保证农民年收入持续提高，农村经济持续增长。    </w:t>
      </w:r>
    </w:p>
    <w:p>
      <w:pPr>
        <w:ind w:firstLine="560"/>
        <w:rPr>
          <w:rFonts w:ascii="方正仿宋_GBK" w:eastAsia="方正仿宋_GBK"/>
          <w:sz w:val="28"/>
        </w:rPr>
      </w:pPr>
      <w:r>
        <w:rPr>
          <w:rFonts w:ascii="方正仿宋_GBK" w:eastAsia="方正仿宋_GBK"/>
          <w:sz w:val="28"/>
        </w:rPr>
        <w:t>二是控制农业面源污染，禁止化肥农药等不合理使用，推进绿色植保、公共植保，有机肥推广与试验工作。</w:t>
      </w:r>
    </w:p>
    <w:p>
      <w:pPr>
        <w:ind w:firstLine="560"/>
        <w:rPr>
          <w:rFonts w:ascii="方正仿宋_GBK" w:eastAsia="方正仿宋_GBK"/>
          <w:sz w:val="28"/>
        </w:rPr>
      </w:pPr>
      <w:r>
        <w:rPr>
          <w:rFonts w:ascii="方正仿宋_GBK" w:eastAsia="方正仿宋_GBK"/>
          <w:sz w:val="28"/>
        </w:rPr>
        <w:t>三是发展推进新形农业园区和农业基地建设，打造以休闲农业和新型绿色蔬菜的种苗培育、种植、保鲜、销售、配送为一体的综合性新型生态农业示范区。</w:t>
      </w:r>
    </w:p>
    <w:p>
      <w:pPr>
        <w:ind w:firstLine="560"/>
        <w:rPr>
          <w:rFonts w:ascii="方正仿宋_GBK" w:eastAsia="方正仿宋_GBK"/>
          <w:sz w:val="28"/>
        </w:rPr>
      </w:pPr>
      <w:r>
        <w:rPr>
          <w:rFonts w:ascii="方正仿宋_GBK" w:eastAsia="方正仿宋_GBK"/>
          <w:sz w:val="28"/>
        </w:rPr>
        <w:t>四是加强农业科技服务体系建设，研究相关政策方案，组织实施科技惠农活动，加大科研成果转化力度，加大对全区种子经营和管理人员种子备案培训、农业技术及农产品质量安全培训力度。</w:t>
      </w:r>
    </w:p>
    <w:p>
      <w:pPr>
        <w:ind w:firstLine="560"/>
        <w:rPr>
          <w:rFonts w:ascii="方正仿宋_GBK" w:eastAsia="方正仿宋_GBK"/>
          <w:sz w:val="28"/>
        </w:rPr>
      </w:pPr>
      <w:r>
        <w:rPr>
          <w:rFonts w:ascii="方正仿宋_GBK" w:eastAsia="方正仿宋_GBK"/>
          <w:sz w:val="28"/>
        </w:rPr>
        <w:t xml:space="preserve">五是积极做好农业产业化、山区综合开发工作。强化宣传和业务知识培训，提升农业产业化工作水平。充分利用好上级奖励扶助政策。利用好农业产业化增信基金这个资金平台，支持扩大企业的发展建设，努力将农业产业化龙头企业做大做强做出更大成效。 </w:t>
      </w:r>
    </w:p>
    <w:p>
      <w:pPr>
        <w:ind w:firstLine="560"/>
        <w:rPr>
          <w:rFonts w:ascii="方正仿宋_GBK" w:eastAsia="方正仿宋_GBK"/>
          <w:sz w:val="28"/>
        </w:rPr>
      </w:pPr>
      <w:r>
        <w:rPr>
          <w:rFonts w:ascii="方正仿宋_GBK" w:eastAsia="方正仿宋_GBK"/>
          <w:sz w:val="28"/>
        </w:rPr>
        <w:t xml:space="preserve">二、着力推进美丽乡村建设     </w:t>
      </w:r>
    </w:p>
    <w:p>
      <w:pPr>
        <w:ind w:firstLine="560"/>
        <w:rPr>
          <w:rFonts w:ascii="方正仿宋_GBK" w:eastAsia="方正仿宋_GBK"/>
          <w:sz w:val="28"/>
        </w:rPr>
      </w:pPr>
      <w:r>
        <w:rPr>
          <w:rFonts w:ascii="方正仿宋_GBK" w:eastAsia="方正仿宋_GBK"/>
          <w:sz w:val="28"/>
        </w:rPr>
        <w:t>一是按照</w:t>
      </w:r>
      <w:r>
        <w:rPr>
          <w:rFonts w:hint="eastAsia" w:ascii="方正仿宋_GBK" w:eastAsia="方正仿宋_GBK"/>
          <w:sz w:val="28"/>
        </w:rPr>
        <w:t>农村人居环境整治三年行动方案</w:t>
      </w:r>
      <w:r>
        <w:rPr>
          <w:rFonts w:ascii="方正仿宋_GBK" w:eastAsia="方正仿宋_GBK"/>
          <w:sz w:val="28"/>
        </w:rPr>
        <w:t>要求，全力抓好201</w:t>
      </w:r>
      <w:r>
        <w:rPr>
          <w:rFonts w:hint="eastAsia" w:ascii="方正仿宋_GBK" w:eastAsia="方正仿宋_GBK"/>
          <w:sz w:val="28"/>
        </w:rPr>
        <w:t>9</w:t>
      </w:r>
      <w:r>
        <w:rPr>
          <w:rFonts w:ascii="方正仿宋_GBK" w:eastAsia="方正仿宋_GBK"/>
          <w:sz w:val="28"/>
        </w:rPr>
        <w:t>年美丽乡村建设</w:t>
      </w:r>
      <w:r>
        <w:rPr>
          <w:rFonts w:hint="eastAsia" w:ascii="方正仿宋_GBK" w:eastAsia="方正仿宋_GBK"/>
          <w:sz w:val="28"/>
        </w:rPr>
        <w:t>17</w:t>
      </w:r>
      <w:r>
        <w:rPr>
          <w:rFonts w:ascii="方正仿宋_GBK" w:eastAsia="方正仿宋_GBK"/>
          <w:sz w:val="28"/>
        </w:rPr>
        <w:t>个重点村：</w:t>
      </w:r>
      <w:r>
        <w:rPr>
          <w:rFonts w:hint="eastAsia" w:ascii="方正仿宋_GBK" w:eastAsia="方正仿宋_GBK"/>
          <w:sz w:val="28"/>
        </w:rPr>
        <w:t>沙河、牛蹄寨等17个村</w:t>
      </w:r>
      <w:r>
        <w:rPr>
          <w:rFonts w:ascii="方正仿宋_GBK" w:eastAsia="方正仿宋_GBK"/>
          <w:sz w:val="28"/>
        </w:rPr>
        <w:t>的达标建设。做好“三清一拆”，公路硬化，村庄亮化、美化等工作。</w:t>
      </w:r>
    </w:p>
    <w:p>
      <w:pPr>
        <w:ind w:firstLine="560"/>
        <w:rPr>
          <w:rFonts w:ascii="方正仿宋_GBK" w:eastAsia="方正仿宋_GBK"/>
          <w:sz w:val="28"/>
        </w:rPr>
      </w:pPr>
      <w:r>
        <w:rPr>
          <w:rFonts w:ascii="方正仿宋_GBK" w:eastAsia="方正仿宋_GBK"/>
          <w:sz w:val="28"/>
        </w:rPr>
        <w:t>二是大幅提高农村垃圾治理成效，在做好村内垃圾治理的基础上，加大对垃圾的及时转运的督导力度；下一步将把农村垃圾治理工作向城市区部分延伸，做好沿路、村与村交界处、城乡结合部等部位卫生清理整治工作。</w:t>
      </w:r>
    </w:p>
    <w:p>
      <w:pPr>
        <w:ind w:firstLine="560"/>
        <w:rPr>
          <w:rFonts w:ascii="方正仿宋_GBK" w:eastAsia="方正仿宋_GBK"/>
          <w:sz w:val="28"/>
        </w:rPr>
      </w:pPr>
      <w:r>
        <w:rPr>
          <w:rFonts w:ascii="方正仿宋_GBK" w:eastAsia="方正仿宋_GBK"/>
          <w:sz w:val="28"/>
        </w:rPr>
        <w:t>三是进一步做好秸秆综合利用工作。积极推进秸秆综合利用工作，落实好补贴政策，推进秸秆利用企业实现市场化管理。</w:t>
      </w:r>
    </w:p>
    <w:p>
      <w:pPr>
        <w:ind w:firstLine="560"/>
        <w:rPr>
          <w:rFonts w:ascii="方正仿宋_GBK" w:eastAsia="方正仿宋_GBK"/>
          <w:sz w:val="28"/>
        </w:rPr>
      </w:pPr>
      <w:r>
        <w:rPr>
          <w:rFonts w:ascii="方正仿宋_GBK" w:eastAsia="方正仿宋_GBK"/>
          <w:sz w:val="28"/>
        </w:rPr>
        <w:t>三、着力推进护林防火工作</w:t>
      </w:r>
    </w:p>
    <w:p>
      <w:pPr>
        <w:ind w:firstLine="560"/>
        <w:rPr>
          <w:rFonts w:ascii="方正仿宋_GBK" w:eastAsia="方正仿宋_GBK"/>
          <w:sz w:val="28"/>
        </w:rPr>
      </w:pPr>
      <w:r>
        <w:rPr>
          <w:rFonts w:ascii="方正仿宋_GBK" w:eastAsia="方正仿宋_GBK"/>
          <w:sz w:val="28"/>
        </w:rPr>
        <w:t>一是完成造林绿化及其配套工作。深入实施生态立市发展战略，全面推进国家森林城市创建工作，完成上级造林任务指标，依据国家京津冀一体化战略规划，建设国家储备林基地。加快林业生态建设步伐，改善生态环境，提升造林绿化水平，实现绿色发展。</w:t>
      </w:r>
    </w:p>
    <w:p>
      <w:pPr>
        <w:ind w:firstLine="560" w:firstLineChars="200"/>
        <w:rPr>
          <w:rFonts w:ascii="方正仿宋_GBK" w:eastAsia="方正仿宋_GBK"/>
          <w:sz w:val="28"/>
        </w:rPr>
      </w:pPr>
      <w:r>
        <w:rPr>
          <w:rFonts w:ascii="方正仿宋_GBK" w:eastAsia="方正仿宋_GBK"/>
          <w:sz w:val="28"/>
        </w:rPr>
        <w:t>二是继续加强防火工作力度，紧绷防火神经，做好扑火队伍和物资的各项准备工作，实现防火责任全覆盖。加大预防、管理力度，做到管理到位、责任到位、人员到位、措施到位，确保无森林火险事故。</w:t>
      </w:r>
    </w:p>
    <w:p>
      <w:pPr>
        <w:ind w:firstLine="560"/>
        <w:rPr>
          <w:rFonts w:ascii="方正仿宋_GBK" w:eastAsia="方正仿宋_GBK"/>
          <w:sz w:val="28"/>
        </w:rPr>
      </w:pPr>
      <w:r>
        <w:rPr>
          <w:rFonts w:ascii="方正仿宋_GBK" w:eastAsia="方正仿宋_GBK"/>
          <w:sz w:val="28"/>
        </w:rPr>
        <w:t>三是加大野生动物保护力度。以“保护野生动物宣传月”为契机，开展各项宣传活动，强化宣传教育攻势，引导公众逐步提高野生动物保护意识，最终使其成为人们的自觉行动。</w:t>
      </w:r>
    </w:p>
    <w:p>
      <w:pPr>
        <w:ind w:firstLine="560"/>
        <w:rPr>
          <w:rFonts w:ascii="方正仿宋_GBK" w:eastAsia="方正仿宋_GBK"/>
          <w:sz w:val="28"/>
        </w:rPr>
      </w:pPr>
      <w:r>
        <w:rPr>
          <w:rFonts w:ascii="方正仿宋_GBK" w:eastAsia="方正仿宋_GBK"/>
          <w:sz w:val="28"/>
        </w:rPr>
        <w:t xml:space="preserve">四、着力深化农村各项改革    </w:t>
      </w:r>
    </w:p>
    <w:p>
      <w:pPr>
        <w:ind w:firstLine="560"/>
        <w:rPr>
          <w:rFonts w:ascii="方正仿宋_GBK" w:eastAsia="方正仿宋_GBK"/>
          <w:sz w:val="28"/>
        </w:rPr>
      </w:pPr>
      <w:r>
        <w:rPr>
          <w:rFonts w:ascii="方正仿宋_GBK" w:eastAsia="方正仿宋_GBK"/>
          <w:sz w:val="28"/>
        </w:rPr>
        <w:t xml:space="preserve">深化农村改革，紧紧围绕保护农村集体资产所有权、农户土地承包经营权和农民财产权，加快构建新型农业经营体系，不断激发农村发展活力。    </w:t>
      </w:r>
    </w:p>
    <w:p>
      <w:pPr>
        <w:ind w:firstLine="560"/>
        <w:rPr>
          <w:rFonts w:ascii="方正仿宋_GBK" w:eastAsia="方正仿宋_GBK"/>
          <w:sz w:val="28"/>
        </w:rPr>
      </w:pPr>
      <w:r>
        <w:rPr>
          <w:rFonts w:ascii="方正仿宋_GBK" w:eastAsia="方正仿宋_GBK"/>
          <w:sz w:val="28"/>
        </w:rPr>
        <w:t xml:space="preserve">一是加快土地承包纠纷调处，深化农村土地制度改革，全面推进土地承包经营权确权登记颁证工作，积极开展确权登记颁证信息平台建设。    </w:t>
      </w:r>
    </w:p>
    <w:p>
      <w:pPr>
        <w:ind w:firstLine="560"/>
        <w:rPr>
          <w:rFonts w:ascii="方正仿宋_GBK" w:eastAsia="方正仿宋_GBK"/>
          <w:sz w:val="28"/>
        </w:rPr>
      </w:pPr>
      <w:r>
        <w:rPr>
          <w:rFonts w:ascii="方正仿宋_GBK" w:eastAsia="方正仿宋_GBK"/>
          <w:sz w:val="28"/>
        </w:rPr>
        <w:t xml:space="preserve">二是加强对乡村农经工作人员的业务培训，指导农村集体资产，农村审计和财务管理工作，认真做好农村财务的指导和监督工作   </w:t>
      </w:r>
    </w:p>
    <w:p>
      <w:pPr>
        <w:ind w:firstLine="560"/>
        <w:rPr>
          <w:rFonts w:ascii="方正仿宋_GBK" w:eastAsia="方正仿宋_GBK"/>
          <w:sz w:val="28"/>
        </w:rPr>
      </w:pPr>
      <w:r>
        <w:rPr>
          <w:rFonts w:ascii="方正仿宋_GBK" w:eastAsia="方正仿宋_GBK"/>
          <w:sz w:val="28"/>
        </w:rPr>
        <w:t xml:space="preserve">三是加快构建新型农业经营体系。推动土地经营权依法规范有序流转，加快发展多种形式的农业适度规模经营。    </w:t>
      </w:r>
    </w:p>
    <w:p>
      <w:pPr>
        <w:ind w:firstLine="560"/>
        <w:rPr>
          <w:rFonts w:ascii="方正仿宋_GBK" w:eastAsia="方正仿宋_GBK"/>
          <w:sz w:val="28"/>
        </w:rPr>
      </w:pPr>
      <w:r>
        <w:rPr>
          <w:rFonts w:ascii="方正仿宋_GBK" w:eastAsia="方正仿宋_GBK"/>
          <w:sz w:val="28"/>
        </w:rPr>
        <w:t>四是对涉及农民负担问题的咨询及调查，做好惠农资金发放和农经统计工作，指导减轻农民负担和村民筹资筹劳管理工作。</w:t>
      </w:r>
    </w:p>
    <w:p>
      <w:pPr>
        <w:ind w:firstLine="560"/>
        <w:rPr>
          <w:rFonts w:ascii="方正仿宋_GBK" w:eastAsia="方正仿宋_GBK"/>
          <w:sz w:val="28"/>
        </w:rPr>
      </w:pPr>
      <w:r>
        <w:rPr>
          <w:rFonts w:hint="eastAsia" w:ascii="方正仿宋_GBK" w:eastAsia="方正仿宋_GBK"/>
          <w:sz w:val="28"/>
        </w:rPr>
        <w:t>五</w:t>
      </w:r>
      <w:r>
        <w:rPr>
          <w:rFonts w:ascii="方正仿宋_GBK" w:eastAsia="方正仿宋_GBK"/>
          <w:sz w:val="28"/>
        </w:rPr>
        <w:t xml:space="preserve">、着力加强稳控工作 </w:t>
      </w:r>
    </w:p>
    <w:p>
      <w:pPr>
        <w:ind w:firstLine="560"/>
        <w:rPr>
          <w:rFonts w:ascii="方正仿宋_GBK" w:eastAsia="方正仿宋_GBK"/>
          <w:sz w:val="28"/>
        </w:rPr>
      </w:pPr>
      <w:r>
        <w:rPr>
          <w:rFonts w:ascii="方正仿宋_GBK" w:eastAsia="方正仿宋_GBK"/>
          <w:sz w:val="28"/>
        </w:rPr>
        <w:t>一是做好移民稳定工作。妥善解决移民遗留问题，政策内个性问题，确保两会、暑期、春节等敏感时间移民稳定。</w:t>
      </w:r>
    </w:p>
    <w:p>
      <w:pPr>
        <w:ind w:firstLine="560"/>
        <w:rPr>
          <w:rFonts w:ascii="方正仿宋_GBK" w:eastAsia="方正仿宋_GBK"/>
          <w:sz w:val="28"/>
        </w:rPr>
      </w:pPr>
      <w:r>
        <w:rPr>
          <w:rFonts w:ascii="方正仿宋_GBK" w:eastAsia="方正仿宋_GBK"/>
          <w:sz w:val="28"/>
        </w:rPr>
        <w:t>二是落实移民后期扶持政策。确保移民每人每年的后期扶持款及时足额发放到位。</w:t>
      </w:r>
    </w:p>
    <w:p>
      <w:pPr>
        <w:ind w:firstLine="560"/>
        <w:rPr>
          <w:rFonts w:ascii="方正仿宋_GBK" w:eastAsia="方正仿宋_GBK"/>
          <w:sz w:val="28"/>
        </w:rPr>
      </w:pPr>
      <w:r>
        <w:rPr>
          <w:rFonts w:ascii="方正仿宋_GBK" w:eastAsia="方正仿宋_GBK"/>
          <w:sz w:val="28"/>
        </w:rPr>
        <w:t>三是加大移民生产扶持。根据我区移民生产生活实际情况，做好移民的生产帮扶工作，做到因地制宜，移民增收致富。</w:t>
      </w:r>
    </w:p>
    <w:p>
      <w:pPr>
        <w:ind w:firstLine="560"/>
        <w:rPr>
          <w:rFonts w:ascii="方正仿宋_GBK" w:eastAsia="方正仿宋_GBK"/>
          <w:sz w:val="28"/>
        </w:rPr>
      </w:pPr>
      <w:r>
        <w:rPr>
          <w:rFonts w:ascii="方正仿宋_GBK" w:eastAsia="方正仿宋_GBK"/>
          <w:sz w:val="28"/>
        </w:rPr>
        <w:t>七、加强动物防疫工作</w:t>
      </w:r>
    </w:p>
    <w:p>
      <w:pPr>
        <w:ind w:firstLine="560"/>
        <w:rPr>
          <w:rFonts w:ascii="方正仿宋_GBK" w:eastAsia="方正仿宋_GBK"/>
          <w:sz w:val="28"/>
        </w:rPr>
      </w:pPr>
      <w:r>
        <w:rPr>
          <w:rFonts w:ascii="方正仿宋_GBK" w:eastAsia="方正仿宋_GBK"/>
          <w:sz w:val="28"/>
        </w:rPr>
        <w:t>一</w:t>
      </w:r>
      <w:r>
        <w:rPr>
          <w:rFonts w:hint="eastAsia" w:ascii="方正仿宋_GBK" w:eastAsia="方正仿宋_GBK"/>
          <w:sz w:val="28"/>
        </w:rPr>
        <w:t>是</w:t>
      </w:r>
      <w:r>
        <w:rPr>
          <w:rFonts w:ascii="方正仿宋_GBK" w:eastAsia="方正仿宋_GBK"/>
          <w:sz w:val="28"/>
        </w:rPr>
        <w:t>继续加大对动物的基础免疫、集中免疫和强制免疫的工作力度，圆满完成明年春季和秋季免疫任务，确保开发区无重大疫情发生。</w:t>
      </w:r>
    </w:p>
    <w:p>
      <w:pPr>
        <w:ind w:firstLine="560"/>
        <w:rPr>
          <w:rFonts w:ascii="方正仿宋_GBK" w:eastAsia="方正仿宋_GBK"/>
          <w:sz w:val="28"/>
        </w:rPr>
      </w:pPr>
      <w:r>
        <w:rPr>
          <w:rFonts w:ascii="方正仿宋_GBK" w:eastAsia="方正仿宋_GBK"/>
          <w:sz w:val="28"/>
        </w:rPr>
        <w:t>二</w:t>
      </w:r>
      <w:r>
        <w:rPr>
          <w:rFonts w:hint="eastAsia" w:ascii="方正仿宋_GBK" w:eastAsia="方正仿宋_GBK"/>
          <w:sz w:val="28"/>
        </w:rPr>
        <w:t>是</w:t>
      </w:r>
      <w:r>
        <w:rPr>
          <w:rFonts w:ascii="方正仿宋_GBK" w:eastAsia="方正仿宋_GBK"/>
          <w:sz w:val="28"/>
        </w:rPr>
        <w:t>加强对兽药、饲料等农资产品的监管。按照《秦皇岛市畜禽水产品抗生素、禁用化合物及兽药残留超标专项整治行动方案》的要求进行专项整治。严格执行《饲料和饲料添加剂管理条例》、《饲料质量安全管理规范》等法律法规。</w:t>
      </w:r>
    </w:p>
    <w:p>
      <w:pPr>
        <w:ind w:firstLine="560"/>
        <w:rPr>
          <w:rFonts w:ascii="方正仿宋_GBK" w:eastAsia="方正仿宋_GBK"/>
          <w:sz w:val="28"/>
        </w:rPr>
      </w:pPr>
      <w:r>
        <w:rPr>
          <w:rFonts w:ascii="方正仿宋_GBK" w:eastAsia="方正仿宋_GBK"/>
          <w:sz w:val="28"/>
        </w:rPr>
        <w:t>三</w:t>
      </w:r>
      <w:r>
        <w:rPr>
          <w:rFonts w:hint="eastAsia" w:ascii="方正仿宋_GBK" w:eastAsia="方正仿宋_GBK"/>
          <w:sz w:val="28"/>
        </w:rPr>
        <w:t>是</w:t>
      </w:r>
      <w:r>
        <w:rPr>
          <w:rFonts w:ascii="方正仿宋_GBK" w:eastAsia="方正仿宋_GBK"/>
          <w:sz w:val="28"/>
        </w:rPr>
        <w:t>加强定点屠宰管理工作。开展畜禽屠宰专项整治，严厉打击私屠滥宰及注水或注入其他物质违法行为。</w:t>
      </w:r>
    </w:p>
    <w:p>
      <w:pPr>
        <w:ind w:firstLine="560"/>
        <w:rPr>
          <w:rFonts w:ascii="方正仿宋_GBK" w:eastAsia="方正仿宋_GBK"/>
          <w:sz w:val="28"/>
        </w:rPr>
      </w:pPr>
      <w:r>
        <w:rPr>
          <w:rFonts w:ascii="方正仿宋_GBK" w:eastAsia="方正仿宋_GBK"/>
          <w:sz w:val="28"/>
        </w:rPr>
        <w:t>四</w:t>
      </w:r>
      <w:r>
        <w:rPr>
          <w:rFonts w:hint="eastAsia" w:ascii="方正仿宋_GBK" w:eastAsia="方正仿宋_GBK"/>
          <w:sz w:val="28"/>
        </w:rPr>
        <w:t>是</w:t>
      </w:r>
      <w:r>
        <w:rPr>
          <w:rFonts w:ascii="方正仿宋_GBK" w:eastAsia="方正仿宋_GBK"/>
          <w:sz w:val="28"/>
        </w:rPr>
        <w:t>按照《秦皇岛经济技术开发区畜禽养殖禁养区、限养区划分方案》要求，继续开展禁养区、限养区养殖场（户）专项治理活动。推进畜禽养殖污染防治工作，促进畜禽养殖与环境保护协调发展。</w:t>
      </w:r>
    </w:p>
    <w:p>
      <w:pPr>
        <w:ind w:firstLine="560"/>
        <w:rPr>
          <w:rFonts w:ascii="方正仿宋_GBK" w:eastAsia="方正仿宋_GBK"/>
          <w:sz w:val="28"/>
        </w:rPr>
      </w:pPr>
      <w:r>
        <w:rPr>
          <w:rFonts w:ascii="方正仿宋_GBK" w:eastAsia="方正仿宋_GBK"/>
          <w:sz w:val="28"/>
        </w:rPr>
        <w:t>五</w:t>
      </w:r>
      <w:r>
        <w:rPr>
          <w:rFonts w:hint="eastAsia" w:ascii="方正仿宋_GBK" w:eastAsia="方正仿宋_GBK"/>
          <w:sz w:val="28"/>
        </w:rPr>
        <w:t>是</w:t>
      </w:r>
      <w:r>
        <w:rPr>
          <w:rFonts w:ascii="方正仿宋_GBK" w:eastAsia="方正仿宋_GBK"/>
          <w:sz w:val="28"/>
        </w:rPr>
        <w:t>做好病死动物无害化处理工作。构建科学、高效的病死畜禽收集、处理体系和运行机制，实现高效、环保、安全、经济的无害化处理功效，全面提升我区病死动物无害化处理水平和动物疫病防控能力。</w:t>
      </w:r>
    </w:p>
    <w:p>
      <w:pPr>
        <w:rPr>
          <w:rFonts w:ascii="方正仿宋_GBK" w:eastAsia="方正仿宋_GBK"/>
          <w:b/>
          <w:sz w:val="28"/>
        </w:rPr>
      </w:pPr>
      <w:r>
        <w:rPr>
          <w:rFonts w:hint="eastAsia" w:ascii="方正楷体_GBK" w:eastAsia="方正楷体_GBK"/>
          <w:b/>
          <w:sz w:val="28"/>
        </w:rPr>
        <w:t>职责分类绩效目标：</w:t>
      </w:r>
    </w:p>
    <w:p>
      <w:pPr>
        <w:rPr>
          <w:rFonts w:ascii="方正仿宋_GBK" w:eastAsia="方正仿宋_GBK"/>
          <w:sz w:val="28"/>
        </w:rPr>
      </w:pPr>
      <w:r>
        <w:rPr>
          <w:rFonts w:ascii="方正仿宋_GBK" w:eastAsia="方正仿宋_GBK"/>
          <w:sz w:val="28"/>
        </w:rPr>
        <w:t>负责农村社会稳定综合治理、农村稳定、来信来访接待、信访案件的接办处理；农村的民事调解、普法宣传，对来访人员相关法规政策的解答、讲解，为上级领导反馈提供信访案件信息和处理意见与建议。</w:t>
      </w:r>
    </w:p>
    <w:p>
      <w:pPr>
        <w:ind w:firstLine="560"/>
        <w:rPr>
          <w:rFonts w:ascii="方正仿宋_GBK" w:eastAsia="方正仿宋_GBK"/>
          <w:sz w:val="28"/>
        </w:rPr>
      </w:pPr>
      <w:r>
        <w:rPr>
          <w:rFonts w:ascii="方正仿宋_GBK" w:eastAsia="方正仿宋_GBK"/>
          <w:sz w:val="28"/>
        </w:rPr>
        <w:t>负责农村土地资源的管理，土地承包、流转、开垦、改良、仲裁，种植结构的调整；征地、拆迁、安置工作；生活补助费的审批、发放及管理工作。</w:t>
      </w:r>
    </w:p>
    <w:p>
      <w:pPr>
        <w:ind w:firstLine="560"/>
        <w:rPr>
          <w:rFonts w:ascii="方正仿宋_GBK" w:eastAsia="方正仿宋_GBK"/>
          <w:sz w:val="28"/>
        </w:rPr>
      </w:pPr>
      <w:r>
        <w:rPr>
          <w:rFonts w:ascii="方正仿宋_GBK" w:eastAsia="方正仿宋_GBK"/>
          <w:sz w:val="28"/>
        </w:rPr>
        <w:t>负责林业资源的管理，组织推广林业科技、教育工作，保护我区动、植物资源。组织、指导植树造林，森林经营和林业基地建设。做好对森林资源资产的调查、规划、设计、管理、监测。</w:t>
      </w:r>
    </w:p>
    <w:p>
      <w:pPr>
        <w:ind w:firstLine="560"/>
        <w:rPr>
          <w:rFonts w:ascii="方正仿宋_GBK" w:eastAsia="方正仿宋_GBK"/>
          <w:sz w:val="28"/>
        </w:rPr>
      </w:pPr>
      <w:r>
        <w:rPr>
          <w:rFonts w:ascii="方正仿宋_GBK" w:eastAsia="方正仿宋_GBK"/>
          <w:sz w:val="28"/>
        </w:rPr>
        <w:t>负责全区森林防火、禁止乱砍滥伐工作，对全区进行巡逻检查，组织协调相关部门对火灾进行扑救。储备防火物资，对各乡处防火工作进行督导检查。</w:t>
      </w:r>
    </w:p>
    <w:p>
      <w:pPr>
        <w:ind w:firstLine="560"/>
        <w:rPr>
          <w:rFonts w:ascii="方正仿宋_GBK" w:eastAsia="方正仿宋_GBK"/>
          <w:sz w:val="28"/>
        </w:rPr>
      </w:pPr>
      <w:r>
        <w:rPr>
          <w:rFonts w:ascii="方正仿宋_GBK" w:eastAsia="方正仿宋_GBK"/>
          <w:sz w:val="28"/>
        </w:rPr>
        <w:t>负责乡、村经济发展项目建设，涉农政策研究，谋划失地农民创收增收的途径，并做好指导、协调、服务等工作；负责农业、水利、林果、畜牧、农机、农技、农经等项管理工作，对农业种、养、加、产、供、销、农工贸一体化管理与服务；失地农民就业及其管理，做好预征地临时性发包管理工作；负责向农村宣传普及国家有关法律、法规，起草有关涉农管理的规范性文件。</w:t>
      </w:r>
    </w:p>
    <w:p>
      <w:pPr>
        <w:ind w:firstLine="560"/>
        <w:rPr>
          <w:rFonts w:ascii="方正仿宋_GBK" w:eastAsia="方正仿宋_GBK"/>
          <w:sz w:val="28"/>
        </w:rPr>
      </w:pPr>
      <w:r>
        <w:rPr>
          <w:rFonts w:ascii="方正仿宋_GBK" w:eastAsia="方正仿宋_GBK"/>
          <w:sz w:val="28"/>
        </w:rPr>
        <w:t>贯彻执行党和国家、市委、市政府关于畜牧业发展的方针政策，拟定全区畜牧业发展规划、计划；制定全区畜牧业技术推广规划和有关政策；负责对乡镇农业服务中心畜牧兽医工作的业务指导、人员培训；主管全区动物内检和动物防疫工作：发布疫情并组织扑灭；负责兽医医政、兽药、药政、药检工作；负责畜牧业、饲料工业等产业的行业管理和畜禽良种场的管理。</w:t>
      </w:r>
    </w:p>
    <w:p>
      <w:pPr>
        <w:ind w:firstLine="560"/>
        <w:rPr>
          <w:rFonts w:ascii="方正仿宋_GBK" w:eastAsia="方正仿宋_GBK"/>
          <w:sz w:val="28"/>
        </w:rPr>
      </w:pPr>
      <w:r>
        <w:rPr>
          <w:rFonts w:ascii="方正仿宋_GBK" w:eastAsia="方正仿宋_GBK"/>
          <w:sz w:val="28"/>
        </w:rPr>
        <w:t>负责农村基层组织建设，村级政权建设与管理；负责农村社会救济、救灾、减灾工作，及时解决农民的生活和生产自救问题；搞好农村社会福利事业及优抚安置工作。</w:t>
      </w:r>
    </w:p>
    <w:p>
      <w:pPr>
        <w:ind w:firstLine="560"/>
        <w:rPr>
          <w:rFonts w:ascii="方正仿宋_GBK" w:eastAsia="方正仿宋_GBK"/>
          <w:sz w:val="28"/>
        </w:rPr>
      </w:pPr>
      <w:r>
        <w:rPr>
          <w:rFonts w:ascii="方正仿宋_GBK" w:eastAsia="方正仿宋_GBK"/>
          <w:sz w:val="28"/>
        </w:rPr>
        <w:t>力争第一季度完成农村土地确权颁证工作，力争今年农村土地确权全部完成；完成春季防疫工作，力争开发区无重大疫情出现；全年完成森林防火工作，力争开发区无重大火情，防患于未然，加强巡逻；完成美丽乡村建设工程招标工作，加快工程进度，改善农村环境；完成农业五年规划编制工作，力争使开发区农业工作上新台阶；完成林业规划编制工作，绿化造林，美化环境；完成青龙扶贫工作，力争今年扶贫工作验收合格。</w:t>
      </w:r>
    </w:p>
    <w:p>
      <w:pPr>
        <w:jc w:val="left"/>
        <w:rPr>
          <w:rFonts w:ascii="方正黑体_GBK" w:eastAsia="方正黑体_GBK"/>
          <w:sz w:val="28"/>
        </w:rPr>
      </w:pPr>
      <w:r>
        <w:rPr>
          <w:rFonts w:hint="eastAsia" w:ascii="方正黑体_GBK" w:eastAsia="方正黑体_GBK"/>
          <w:sz w:val="28"/>
        </w:rPr>
        <w:t>二、实现年度发展规划目标的保障措施</w:t>
      </w:r>
    </w:p>
    <w:p>
      <w:pPr>
        <w:rPr>
          <w:rFonts w:ascii="方正仿宋_GBK" w:eastAsia="方正仿宋_GBK"/>
          <w:sz w:val="28"/>
        </w:rPr>
      </w:pPr>
      <w:r>
        <w:rPr>
          <w:rFonts w:ascii="方正仿宋_GBK" w:eastAsia="方正仿宋_GBK"/>
          <w:sz w:val="28"/>
        </w:rPr>
        <w:t>一</w:t>
      </w:r>
      <w:r>
        <w:rPr>
          <w:rFonts w:hint="eastAsia" w:ascii="方正仿宋_GBK" w:eastAsia="方正仿宋_GBK"/>
          <w:sz w:val="28"/>
        </w:rPr>
        <w:t>是</w:t>
      </w:r>
      <w:r>
        <w:rPr>
          <w:rFonts w:ascii="方正仿宋_GBK" w:eastAsia="方正仿宋_GBK"/>
          <w:sz w:val="28"/>
        </w:rPr>
        <w:t>加强反腐倡廉制度建设，提高廉洁自律能力。定期组织学习中央、省市关于党风廉政建设各项规章制度，加强党风党纪、理想信念、廉洁奉公教育，在公务招待、用车、项目建设等方面制订严格规章制度，严格规范财务审批制度和报销手续，对于大额开支一律经领导班子集体研究后再实施，坚决从源头上遏制腐败。</w:t>
      </w:r>
    </w:p>
    <w:p>
      <w:pPr>
        <w:ind w:firstLine="560"/>
        <w:rPr>
          <w:rFonts w:ascii="方正仿宋_GBK" w:eastAsia="方正仿宋_GBK"/>
          <w:sz w:val="28"/>
        </w:rPr>
      </w:pPr>
      <w:r>
        <w:rPr>
          <w:rFonts w:ascii="方正仿宋_GBK" w:eastAsia="方正仿宋_GBK"/>
          <w:sz w:val="28"/>
        </w:rPr>
        <w:t>二</w:t>
      </w:r>
      <w:r>
        <w:rPr>
          <w:rFonts w:hint="eastAsia" w:ascii="方正仿宋_GBK" w:eastAsia="方正仿宋_GBK"/>
          <w:sz w:val="28"/>
        </w:rPr>
        <w:t>是</w:t>
      </w:r>
      <w:r>
        <w:rPr>
          <w:rFonts w:ascii="方正仿宋_GBK" w:eastAsia="方正仿宋_GBK"/>
          <w:sz w:val="28"/>
        </w:rPr>
        <w:t>认真学，扎实做，打造一流工作队伍。认真学习党章党规、</w:t>
      </w:r>
      <w:r>
        <w:rPr>
          <w:rFonts w:hint="eastAsia" w:ascii="方正仿宋_GBK" w:eastAsia="方正仿宋_GBK"/>
          <w:sz w:val="28"/>
        </w:rPr>
        <w:t>习近平总书记系列重要讲话精神</w:t>
      </w:r>
      <w:bookmarkStart w:id="7" w:name="_GoBack"/>
      <w:bookmarkEnd w:id="7"/>
      <w:r>
        <w:rPr>
          <w:rFonts w:ascii="方正仿宋_GBK" w:eastAsia="方正仿宋_GBK"/>
          <w:sz w:val="28"/>
        </w:rPr>
        <w:t>以及中央、省、市的重大决策部署，不断提政治理论素养，工作上同党中央和工管委保持高度一致，严格遵守党的政治纪律，坚定不移地贯彻落实党的路线、方针、政策和决议，围绕全区农业、农村、农民问题，结合分管工作开展讲学，互相交流，共同提高。</w:t>
      </w:r>
    </w:p>
    <w:p>
      <w:pPr>
        <w:ind w:firstLine="560"/>
        <w:rPr>
          <w:rFonts w:ascii="方正仿宋_GBK" w:eastAsia="方正仿宋_GBK"/>
          <w:sz w:val="28"/>
        </w:rPr>
      </w:pPr>
      <w:r>
        <w:rPr>
          <w:rFonts w:ascii="方正仿宋_GBK" w:eastAsia="方正仿宋_GBK"/>
          <w:sz w:val="28"/>
        </w:rPr>
        <w:t>三是压实责任，强化领导。为确保各项工作有组织、有步骤地进行，以完成今年目标任务，成立以局长为组长，分管局长为副组长，相关股室负责人为成员的领导小组，负责联系协调推进各项工作的贯彻实施。根据年初工作要点安排，每一项工作都落实有分管领导，明确具体的责任单位和个人。</w:t>
      </w:r>
    </w:p>
    <w:p>
      <w:pPr>
        <w:ind w:firstLine="560"/>
        <w:rPr>
          <w:rFonts w:ascii="方正仿宋_GBK" w:eastAsia="方正仿宋_GBK"/>
          <w:sz w:val="28"/>
        </w:rPr>
      </w:pPr>
      <w:r>
        <w:rPr>
          <w:rFonts w:ascii="方正仿宋_GBK" w:eastAsia="方正仿宋_GBK"/>
          <w:sz w:val="28"/>
        </w:rPr>
        <w:t>四</w:t>
      </w:r>
      <w:r>
        <w:rPr>
          <w:rFonts w:hint="eastAsia" w:ascii="方正仿宋_GBK" w:eastAsia="方正仿宋_GBK"/>
          <w:sz w:val="28"/>
        </w:rPr>
        <w:t>是</w:t>
      </w:r>
      <w:r>
        <w:rPr>
          <w:rFonts w:ascii="方正仿宋_GBK" w:eastAsia="方正仿宋_GBK"/>
          <w:sz w:val="28"/>
        </w:rPr>
        <w:t>明确目标，分解任务。在认真贯彻落实各级会议精神和局工作实际的基础上，明确目标任务，理清工作思路，认真谋划新思路、新对策、新举措，形成抓落实、促发展的强大思想合力。将所有工作任务落实到科室，具体到人，制定了具体的实施方案，明确总体要求，细化分解工作任务，确定具体的落实单位和责任人员及时限要求。</w:t>
      </w:r>
    </w:p>
    <w:p>
      <w:pPr>
        <w:ind w:firstLine="560"/>
        <w:rPr>
          <w:rFonts w:ascii="方正仿宋_GBK" w:eastAsia="方正仿宋_GBK"/>
          <w:sz w:val="28"/>
        </w:rPr>
      </w:pPr>
      <w:r>
        <w:rPr>
          <w:rFonts w:ascii="方正仿宋_GBK" w:eastAsia="方正仿宋_GBK"/>
          <w:sz w:val="28"/>
        </w:rPr>
        <w:t>五是强化监督，确保实效。加强监督检查，推进工作落实，建立健全日常监督、重点督查相结合的督查机制，按照确定的目标任务，完善各项制度，对重点工作按照时间进度抓好督导落实，严肃查处作风不实、效率不高、落实不畅的行为和事项，特别是对重点工作及时跟进督查，查找存在问题，确保顺利推进。适时召开调度会、推进会，推进各项工作顺利进展。</w:t>
      </w:r>
    </w:p>
    <w:tbl>
      <w:tblPr>
        <w:tblStyle w:val="6"/>
        <w:tblpPr w:leftFromText="180" w:rightFromText="180" w:vertAnchor="text" w:horzAnchor="margin" w:tblpY="3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029"/>
        <w:gridCol w:w="982"/>
        <w:gridCol w:w="3822"/>
        <w:gridCol w:w="2539"/>
        <w:gridCol w:w="1996"/>
        <w:gridCol w:w="694"/>
        <w:gridCol w:w="694"/>
        <w:gridCol w:w="694"/>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trPr>
        <w:tc>
          <w:tcPr>
            <w:tcW w:w="0" w:type="auto"/>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秦皇岛经济技术开发区农村工作局</w:t>
            </w:r>
          </w:p>
        </w:tc>
        <w:tc>
          <w:tcPr>
            <w:tcW w:w="0" w:type="auto"/>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trPr>
        <w:tc>
          <w:tcPr>
            <w:tcW w:w="0" w:type="auto"/>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0" w:type="auto"/>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0" w:type="auto"/>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0" w:type="auto"/>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0" w:type="auto"/>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0" w:type="auto"/>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trPr>
        <w:tc>
          <w:tcPr>
            <w:tcW w:w="0" w:type="auto"/>
            <w:vMerge w:val="continue"/>
            <w:shd w:val="clear" w:color="auto" w:fill="auto"/>
            <w:vAlign w:val="center"/>
          </w:tcPr>
          <w:p>
            <w:pPr>
              <w:spacing w:line="300" w:lineRule="exact"/>
              <w:jc w:val="left"/>
              <w:outlineLvl w:val="0"/>
            </w:pPr>
          </w:p>
        </w:tc>
        <w:tc>
          <w:tcPr>
            <w:tcW w:w="0" w:type="auto"/>
            <w:vMerge w:val="continue"/>
            <w:shd w:val="clear" w:color="auto" w:fill="auto"/>
            <w:vAlign w:val="center"/>
          </w:tcPr>
          <w:p>
            <w:pPr>
              <w:spacing w:line="300" w:lineRule="exact"/>
              <w:jc w:val="left"/>
              <w:outlineLvl w:val="0"/>
            </w:pPr>
          </w:p>
        </w:tc>
        <w:tc>
          <w:tcPr>
            <w:tcW w:w="0" w:type="auto"/>
            <w:vMerge w:val="continue"/>
            <w:shd w:val="clear" w:color="auto" w:fill="auto"/>
            <w:vAlign w:val="center"/>
          </w:tcPr>
          <w:p>
            <w:pPr>
              <w:spacing w:line="300" w:lineRule="exact"/>
              <w:jc w:val="left"/>
              <w:outlineLvl w:val="0"/>
            </w:pPr>
          </w:p>
        </w:tc>
        <w:tc>
          <w:tcPr>
            <w:tcW w:w="0" w:type="auto"/>
            <w:vMerge w:val="continue"/>
            <w:shd w:val="clear" w:color="auto" w:fill="auto"/>
            <w:vAlign w:val="center"/>
          </w:tcPr>
          <w:p>
            <w:pPr>
              <w:spacing w:line="300" w:lineRule="exact"/>
              <w:jc w:val="left"/>
              <w:outlineLvl w:val="0"/>
            </w:pPr>
          </w:p>
        </w:tc>
        <w:tc>
          <w:tcPr>
            <w:tcW w:w="0" w:type="auto"/>
            <w:vMerge w:val="continue"/>
            <w:shd w:val="clear" w:color="auto" w:fill="auto"/>
            <w:vAlign w:val="center"/>
          </w:tcPr>
          <w:p>
            <w:pPr>
              <w:spacing w:line="300" w:lineRule="exact"/>
              <w:jc w:val="left"/>
              <w:outlineLvl w:val="0"/>
            </w:pPr>
          </w:p>
        </w:tc>
        <w:tc>
          <w:tcPr>
            <w:tcW w:w="0" w:type="auto"/>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0" w:type="auto"/>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0" w:type="auto"/>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0" w:type="auto"/>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一、指导农村经济发展，推进新农村建设</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195.20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协调指导农村经济健康发展，着力促进农民收入持续较快增长。通过实施美丽乡村建设，加快建设社会主义新农村。</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围绕农村改造实事，突出重点，因地制宜，组织实施美丽乡村建设，开展新民居中心村示范点建设。按照分期分批推进的要求，每年选定一批重点村实施。</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重点村改造提升完成率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指导经济发展</w:t>
            </w:r>
            <w:r>
              <w:rPr>
                <w:rFonts w:ascii="方正书宋_GBK" w:eastAsia="方正书宋_GBK"/>
                <w:b/>
              </w:rPr>
              <w:t>,</w:t>
            </w:r>
            <w:r>
              <w:rPr>
                <w:rFonts w:hint="eastAsia" w:ascii="方正书宋_GBK" w:eastAsia="方正书宋_GBK"/>
                <w:b/>
              </w:rPr>
              <w:t>推进美丽乡村建设</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195.20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研究谋划全区农业农村发展规划，综合协调全区</w:t>
            </w:r>
            <w:r>
              <w:rPr>
                <w:rFonts w:hint="cs" w:ascii="仿宋" w:hAnsi="仿宋" w:eastAsia="仿宋"/>
                <w:szCs w:val="21"/>
              </w:rPr>
              <w:t>“</w:t>
            </w:r>
            <w:r>
              <w:rPr>
                <w:rFonts w:hint="eastAsia" w:ascii="仿宋" w:hAnsi="仿宋" w:eastAsia="仿宋"/>
                <w:szCs w:val="21"/>
              </w:rPr>
              <w:t>三农</w:t>
            </w:r>
            <w:r>
              <w:rPr>
                <w:rFonts w:hint="cs" w:ascii="仿宋" w:hAnsi="仿宋" w:eastAsia="仿宋"/>
                <w:szCs w:val="21"/>
              </w:rPr>
              <w:t>”</w:t>
            </w:r>
            <w:r>
              <w:rPr>
                <w:rFonts w:hint="eastAsia" w:ascii="仿宋" w:hAnsi="仿宋" w:eastAsia="仿宋"/>
                <w:szCs w:val="21"/>
              </w:rPr>
              <w:t>工作，并对</w:t>
            </w:r>
            <w:r>
              <w:rPr>
                <w:rFonts w:hint="cs" w:ascii="仿宋" w:hAnsi="仿宋" w:eastAsia="仿宋"/>
                <w:szCs w:val="21"/>
              </w:rPr>
              <w:t>“</w:t>
            </w:r>
            <w:r>
              <w:rPr>
                <w:rFonts w:hint="eastAsia" w:ascii="仿宋" w:hAnsi="仿宋" w:eastAsia="仿宋"/>
                <w:szCs w:val="21"/>
              </w:rPr>
              <w:t>三农</w:t>
            </w:r>
            <w:r>
              <w:rPr>
                <w:rFonts w:hint="cs" w:ascii="仿宋" w:hAnsi="仿宋" w:eastAsia="仿宋"/>
                <w:szCs w:val="21"/>
              </w:rPr>
              <w:t>”</w:t>
            </w:r>
            <w:r>
              <w:rPr>
                <w:rFonts w:hint="eastAsia" w:ascii="仿宋" w:hAnsi="仿宋" w:eastAsia="仿宋"/>
                <w:szCs w:val="21"/>
              </w:rPr>
              <w:t>工作进行调查研究、工作指导和督导检查；完善支持经济发展政策体系，指导经济结构优化，推进农村改革发展，加快农村发展，促进农民收入持续较快增长</w:t>
            </w:r>
            <w:r>
              <w:rPr>
                <w:rFonts w:ascii="仿宋" w:hAnsi="仿宋" w:eastAsia="仿宋"/>
                <w:szCs w:val="21"/>
              </w:rPr>
              <w:t>,</w:t>
            </w:r>
            <w:r>
              <w:rPr>
                <w:rFonts w:hint="eastAsia" w:ascii="仿宋" w:hAnsi="仿宋" w:eastAsia="仿宋"/>
                <w:szCs w:val="21"/>
              </w:rPr>
              <w:t>组织实施美丽乡村建设，开展新民居中心村示范点建设。</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围绕农村改造实事，突出重点，因地制宜，组织实施美丽乡村建设，开展新民居中心村示范点建设。按照分期分批推进的要求，每年选定一批重点村实施。</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重点村改造提升完成率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二、农业综合开发</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贯彻执行国家农业综合开发方针、政策，研究提出全区农业综合开发政策及项目立项、实施、检查验收等管理办法，管理区农业综合开发资金和各类农业综合开发项目。</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扶持农业龙头企业和新型经营主体，带动农业特色主导产业发展，提高我县农业产业化整体水平。</w:t>
            </w:r>
          </w:p>
          <w:p>
            <w:pPr>
              <w:rPr>
                <w:rFonts w:ascii="仿宋" w:hAnsi="仿宋" w:eastAsia="仿宋" w:cs="宋体"/>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年度产业化经营项目实施计划中各项分类措施的任务完成率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农业产业化、（</w:t>
            </w:r>
            <w:r>
              <w:rPr>
                <w:rFonts w:ascii="方正书宋_GBK" w:eastAsia="方正书宋_GBK"/>
                <w:b/>
              </w:rPr>
              <w:t>2130124-</w:t>
            </w:r>
            <w:r>
              <w:rPr>
                <w:rFonts w:hint="eastAsia" w:ascii="方正书宋_GBK" w:eastAsia="方正书宋_GBK"/>
                <w:b/>
              </w:rPr>
              <w:t>农业产业化，反映综合开发部门安排的产业化经营项目支出）</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负责全区农业产业化工作，参与农村重大经济项目的谋划和农业产业结构调整。</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扶持农业龙头企业和新型经营主体，带动农业特色主导产业发展，提高我县农业产业化整体水平。</w:t>
            </w:r>
          </w:p>
          <w:p>
            <w:pPr>
              <w:rPr>
                <w:rFonts w:ascii="仿宋" w:hAnsi="仿宋" w:eastAsia="仿宋" w:cs="宋体"/>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年度产业化经营项目实施计划中各项分类措施的任务完成率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三、政务管理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14.30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贯彻落实上级关于</w:t>
            </w:r>
            <w:r>
              <w:rPr>
                <w:rFonts w:hint="cs" w:ascii="仿宋" w:hAnsi="仿宋" w:eastAsia="仿宋"/>
                <w:szCs w:val="21"/>
              </w:rPr>
              <w:t>“</w:t>
            </w:r>
            <w:r>
              <w:rPr>
                <w:rFonts w:hint="eastAsia" w:ascii="仿宋" w:hAnsi="仿宋" w:eastAsia="仿宋"/>
                <w:szCs w:val="21"/>
              </w:rPr>
              <w:t>三农</w:t>
            </w:r>
            <w:r>
              <w:rPr>
                <w:rFonts w:hint="cs" w:ascii="仿宋" w:hAnsi="仿宋" w:eastAsia="仿宋"/>
                <w:szCs w:val="21"/>
              </w:rPr>
              <w:t>”</w:t>
            </w:r>
            <w:r>
              <w:rPr>
                <w:rFonts w:hint="eastAsia" w:ascii="仿宋" w:hAnsi="仿宋" w:eastAsia="仿宋"/>
                <w:szCs w:val="21"/>
              </w:rPr>
              <w:t>工作的决策部署，研究制定全区农业农村工作政策文件，对全区</w:t>
            </w:r>
            <w:r>
              <w:rPr>
                <w:rFonts w:hint="cs" w:ascii="仿宋" w:hAnsi="仿宋" w:eastAsia="仿宋"/>
                <w:szCs w:val="21"/>
              </w:rPr>
              <w:t>“</w:t>
            </w:r>
            <w:r>
              <w:rPr>
                <w:rFonts w:hint="eastAsia" w:ascii="仿宋" w:hAnsi="仿宋" w:eastAsia="仿宋"/>
                <w:szCs w:val="21"/>
              </w:rPr>
              <w:t>三农</w:t>
            </w:r>
            <w:r>
              <w:rPr>
                <w:rFonts w:hint="cs" w:ascii="仿宋" w:hAnsi="仿宋" w:eastAsia="仿宋"/>
                <w:szCs w:val="21"/>
              </w:rPr>
              <w:t>”</w:t>
            </w:r>
            <w:r>
              <w:rPr>
                <w:rFonts w:hint="eastAsia" w:ascii="仿宋" w:hAnsi="仿宋" w:eastAsia="仿宋"/>
                <w:szCs w:val="21"/>
              </w:rPr>
              <w:t>工作进行安排部署。</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有效发挥领导小组办公室职能职责。紧密结合实际，提出有针对性和可操作性的政策措施建议；督导相关部门落实工作任务；研究破解农村改革发展中的瓶颈制约，为领导提供重要的决策参考。</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完成省重大调研课题（项）</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85%以上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综合业务管理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14.30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贯彻执行党的路线、方针</w:t>
            </w:r>
            <w:r>
              <w:rPr>
                <w:rFonts w:ascii="仿宋" w:hAnsi="仿宋" w:eastAsia="仿宋"/>
                <w:szCs w:val="21"/>
              </w:rPr>
              <w:t xml:space="preserve"> </w:t>
            </w:r>
            <w:r>
              <w:rPr>
                <w:rFonts w:hint="eastAsia" w:ascii="仿宋" w:hAnsi="仿宋" w:eastAsia="仿宋"/>
                <w:szCs w:val="21"/>
              </w:rPr>
              <w:t>、政策，落实工委、管委的有关决定，研究制定全区农业农村工作政策文件，督导落实各乡处农业农村重点工作和重大政策，组织开展</w:t>
            </w:r>
            <w:r>
              <w:rPr>
                <w:rFonts w:hint="cs" w:ascii="仿宋" w:hAnsi="仿宋" w:eastAsia="仿宋"/>
                <w:szCs w:val="21"/>
              </w:rPr>
              <w:t>“</w:t>
            </w:r>
            <w:r>
              <w:rPr>
                <w:rFonts w:hint="eastAsia" w:ascii="仿宋" w:hAnsi="仿宋" w:eastAsia="仿宋"/>
                <w:szCs w:val="21"/>
              </w:rPr>
              <w:t>三农</w:t>
            </w:r>
            <w:r>
              <w:rPr>
                <w:rFonts w:hint="cs" w:ascii="仿宋" w:hAnsi="仿宋" w:eastAsia="仿宋"/>
                <w:szCs w:val="21"/>
              </w:rPr>
              <w:t>”</w:t>
            </w:r>
            <w:r>
              <w:rPr>
                <w:rFonts w:hint="eastAsia" w:ascii="仿宋" w:hAnsi="仿宋" w:eastAsia="仿宋"/>
                <w:szCs w:val="21"/>
              </w:rPr>
              <w:t>重大问题专项调研，做好区农村工作领导小组办公室召开全区农村工作会议工作。负责全区</w:t>
            </w:r>
            <w:r>
              <w:rPr>
                <w:rFonts w:hint="cs" w:ascii="仿宋" w:hAnsi="仿宋" w:eastAsia="仿宋"/>
                <w:szCs w:val="21"/>
              </w:rPr>
              <w:t>“</w:t>
            </w:r>
            <w:r>
              <w:rPr>
                <w:rFonts w:hint="eastAsia" w:ascii="仿宋" w:hAnsi="仿宋" w:eastAsia="仿宋"/>
                <w:szCs w:val="21"/>
              </w:rPr>
              <w:t>双创</w:t>
            </w:r>
            <w:r>
              <w:rPr>
                <w:rFonts w:hint="cs" w:ascii="仿宋" w:hAnsi="仿宋" w:eastAsia="仿宋"/>
                <w:szCs w:val="21"/>
              </w:rPr>
              <w:t>”</w:t>
            </w:r>
            <w:r>
              <w:rPr>
                <w:rFonts w:hint="eastAsia" w:ascii="仿宋" w:hAnsi="仿宋" w:eastAsia="仿宋"/>
                <w:szCs w:val="21"/>
              </w:rPr>
              <w:t>工作的审核把关、提交区双创领导小组</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有效发挥领导小组办公室职能职责。紧密结合实际，提出有针对性和可操作性的政策措施建议；督导相关部门落实工作任务；研究破解农村改革发展中的瓶颈制约，为领导提供重要的决策参考。</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完成省重大调研课题（项）</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85%以上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四、完善农村经营管理体制</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2892.31</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推进农村集体产权制度改革，完善农村土地承包制度，引导农村土地合理流转。创新农业经营主体。农村财务培训指导审计。</w:t>
            </w:r>
          </w:p>
        </w:tc>
        <w:tc>
          <w:tcPr>
            <w:tcW w:w="0" w:type="auto"/>
            <w:shd w:val="clear" w:color="auto" w:fill="auto"/>
            <w:vAlign w:val="center"/>
          </w:tcPr>
          <w:p>
            <w:pPr>
              <w:rPr>
                <w:rFonts w:ascii="仿宋" w:hAnsi="仿宋" w:eastAsia="仿宋" w:cs="宋体"/>
                <w:szCs w:val="21"/>
              </w:rPr>
            </w:pPr>
            <w:r>
              <w:rPr>
                <w:rFonts w:hint="eastAsia" w:ascii="仿宋" w:hAnsi="仿宋" w:eastAsia="仿宋" w:cs="宋体"/>
                <w:szCs w:val="21"/>
              </w:rPr>
              <w:t>规范流转行为，优化资源配置，促进农民专业合作经济组织健康发展，加快新农村建设和城镇化进程。促进农村财务健康有序发展。</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规范流转行为，优化资源配置，促进农民专业合作经济组织健康发展，加快新农村建设和城镇化进程。促进农村财务健康有序发展。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全额完成</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1、促进土地流转</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2881.31</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土地承包纠纷处理、指导农村土地承包、土地使用权流转。</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指导全区建立运转顺畅、便捷高效的农村土地承包经营权流转服务平台，带动土地流转依法、有序开展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土地流转提高率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全额完成</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2、土地确权登记</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根据国家和省市要求开展农村土地承包经营确权登记试点，并逐步向全区全面推开。</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完成全县耕地面积50%的确权登记颁证目标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农村土地承包土地确权登记颁证率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≧0.8%</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≧0.6%</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3、农村经营管理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11</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负责涉及农民负担问题的咨询及调查，指导监督减轻农民负担和村民筹资筹劳管理工作。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健全农村集体“三资”管理制度，指导农村经济组织健康、规范发展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村集体经济业务规范率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≧300万亩</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≧240万亩</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≧210万亩</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﹤210万亩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4、农村财务管理</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指导农村集体资产和财务管理，指导乡村农经工作人员的业务培训。指导协调农村经济组织股份制改革工作。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促进农村财务健康、规范发展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培训比率、审计比率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五、水利水电项目建设与管理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204</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水利水电项目的建设与维护管理。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增加移民收入，改善移民生产生活条件，促进移民稳定</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移民政策落实率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水库移民安置及后期管理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204</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落实水库移民政策，扶持移民发展生产，保持移民稳定。</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增加移民收入，改善移民生产生活条件，促进移民稳定</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移民政策落实率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六、党组织建设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贯彻各级党组织建设工作方针，指导全区农村党组织的建设。</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建设参政议政队伍，促进参政议政工作制度化、规范化和程序化，调动基层组织和广大党员的积极性，增强组织凝聚力。对党内重大活动和典型人物进行宣传。</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信息宣传发布量(条)警示教育培训率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宣传教育培训</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开展政治理论和时事政策的学习教育活动，维护好网站建设，组织村干部、村财务工作人员党风廉政警示教育培训。继续推进</w:t>
            </w:r>
            <w:r>
              <w:rPr>
                <w:rFonts w:hint="cs" w:ascii="仿宋" w:hAnsi="仿宋" w:eastAsia="仿宋"/>
                <w:szCs w:val="21"/>
              </w:rPr>
              <w:t>“两学一做”学习教育</w:t>
            </w:r>
            <w:r>
              <w:rPr>
                <w:rFonts w:hint="eastAsia" w:ascii="仿宋" w:hAnsi="仿宋" w:eastAsia="仿宋"/>
                <w:szCs w:val="21"/>
              </w:rPr>
              <w:t>。</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建设参政议政队伍，促进参政议政工作制度化、规范化和程序化，调动基层组织和广大党员的积极性，增强组织凝聚力。对党内重大活动和典型人物进行宣传。</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信息宣传发布量(条)警示教育培训率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七、林业生态建设</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贯彻执行国家、省、市关于林业及其生态建设的方针、政策和法律法规；拟定全区林业及其生态环境建设、森林资源保护、国土绿化、荒漠化防治和林业产业发展的规定和方法，并组织实施监督和检查，组织开展森林资源、承担林业生态文明建设的有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贯彻落实国家、省有关标准和规程，配合协调公益林和商品林的培育，配合协调植树造林和以植树种草等生物措施防治水土流失工作，配合监督全民义务植树和造林绿化工作。承担林业应对气候变化的相关工作。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保持现有林地面积，使全区绿化水平和森林覆盖率达到上级要求，改善生态环境。</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森林抚育及造林绿化</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指导植树造林、森林经营和林业基地建设，对中幼龄林进行抚育作业，低质低效林改造，更新造林。负责全区林木良种选育、引种及林木种质资源管理，制定全区造林绿化计划</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贯彻落实国家、省有关标准和规程，配合协调公益林和商品林的培育，配合协调植树造林和以植树种草等生物措施防治水土流失工作，配合监督全民义务植树和造林绿化工作。承担林业应对气候变化的相关工作。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保持现有林地面积，使全区绿化水平和森林覆盖率达到上级要求，改善生态环境。</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　退耕还林</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按照上级下达的年度计划，组织实施退耕还林。</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工程治理地区的生态状况得到明显改善。</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完成上级下达的年度退耕还林计划。</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八、林业科技支撑和公共服务</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31.50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组织指导全区林业及其生态建设的科技创新和技术示范推广，为林业生态发展和林产品生产提供公共支撑。</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预防和减少自然灾害对森林资源的损失，保护森林资源</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完成全省林业系统灾后重建相关工作。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1、林业防灾减灾</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20.50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组织、协调、指导全区森林火灾的预防与扑救工作，承担开发区森林防火指挥部的具体工作。指导、组织全区开展林业有害生物的防治、检疫工作。组织开展全区林业系统遭受自然灾害后林业生产恢复重建，组织相关人员进行森林防火业务培训</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预防和减少自然灾害对森林资源的损失，保护森林资源</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完成全省林业系统灾后重建相关工作。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2、林业资源管理与监测</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11.00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开展林业执法、林地利用保护，负责湿地保护规划和管理及林业补贴监督管理。组织实施全区林木、森林采伐限额管理，拟订林地保护利用规划并指导实施，依法承担林地征用、占用的初审工作。监督检查林木凭证采伐、运输。监管全区国有林业资产和森林资源资产。组织开展林业资源的调查、动态监测和评估，并发布相关信息，生态定位站建设和运行管理。开展全区森林覆盖率等考核相关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掌握全区森林资源状况，加强资源管理。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按规定比例开展外业调查工作，对资源数据进行概算。</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九、信访问题处理</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3.0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负责正常信访、非访、突发性及群体性事件的办理；提供相关服务保障；协助区信访局处理农村群众进京上访。</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 xml:space="preserve"> 按时办理各类信访案件</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案件受理率、答复率、群众满意度评价率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信访事项受理和答复</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3.0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负责农林渔畜牧农经等行业方面的群众</w:t>
            </w:r>
            <w:r>
              <w:rPr>
                <w:rFonts w:ascii="仿宋" w:hAnsi="仿宋" w:eastAsia="仿宋"/>
                <w:szCs w:val="21"/>
              </w:rPr>
              <w:t xml:space="preserve"> </w:t>
            </w:r>
            <w:r>
              <w:rPr>
                <w:rFonts w:hint="eastAsia" w:ascii="仿宋" w:hAnsi="仿宋" w:eastAsia="仿宋"/>
                <w:szCs w:val="21"/>
              </w:rPr>
              <w:t>来信来访接待、信访案件的接办处理，开展相关法律法规宣传，做好依法行政和综合治理工作。对相关信访事项进行调查核实，在规定时限内进行答复上传和上报。</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 xml:space="preserve"> 按时办理各类信访案件</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案件受理率、答复率、群众满意度评价率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十、渔业资源保护和生态建设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监督检查禁渔期违规出海作业渔船，对在本辖区违规作业渔船进行查处，参与省市联合执法检查，验船师对辖区登记在册渔船进行检验，安全生产检查、进出港签证、发布禁渔禁航通知</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做好伏季休渔期间渔业资源保护工作</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按时上报伏季休渔动态</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伏季休渔</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保护渔业资源</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做好伏季休渔期间渔业资源保护工作</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按时上报伏季休渔动态</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渔政执法、渔政执法</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保护渔业资源，对在本辖区违规作业渔船进行查处，参与省市联合执法检查</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做好伏季休渔期间渔业资源保护工作，对在本辖区违规作业渔船进行查处，参与省市联合执法检查</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对海上查处违规渔船做好现场笔录，回港后做好后续工作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2、渔政执法</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对在本辖区违规作业渔船进行查处，参与省市联合执法检查</w:t>
            </w:r>
          </w:p>
        </w:tc>
        <w:tc>
          <w:tcPr>
            <w:tcW w:w="0" w:type="auto"/>
            <w:shd w:val="clear" w:color="auto" w:fill="auto"/>
            <w:vAlign w:val="center"/>
          </w:tcPr>
          <w:p>
            <w:pPr>
              <w:jc w:val="center"/>
              <w:rPr>
                <w:rFonts w:ascii="仿宋" w:hAnsi="仿宋" w:eastAsia="仿宋"/>
                <w:szCs w:val="21"/>
              </w:rPr>
            </w:pPr>
            <w:r>
              <w:rPr>
                <w:rFonts w:hint="eastAsia" w:ascii="仿宋" w:hAnsi="仿宋" w:eastAsia="仿宋"/>
                <w:szCs w:val="21"/>
              </w:rPr>
              <w:t>完成船检证书、捕捞许可证、国籍、所有权证书办理</w:t>
            </w:r>
          </w:p>
        </w:tc>
        <w:tc>
          <w:tcPr>
            <w:tcW w:w="0" w:type="auto"/>
            <w:shd w:val="clear" w:color="auto" w:fill="auto"/>
            <w:vAlign w:val="center"/>
          </w:tcPr>
          <w:p>
            <w:pPr>
              <w:jc w:val="center"/>
              <w:rPr>
                <w:rFonts w:ascii="仿宋" w:hAnsi="仿宋" w:eastAsia="仿宋"/>
                <w:szCs w:val="21"/>
              </w:rPr>
            </w:pPr>
            <w:r>
              <w:rPr>
                <w:rFonts w:hint="eastAsia" w:ascii="仿宋" w:hAnsi="仿宋" w:eastAsia="仿宋"/>
                <w:szCs w:val="21"/>
              </w:rPr>
              <w:t>完成符合规定的渔船发放船检证书、捕捞许可证、国籍、所有权证书办理</w:t>
            </w:r>
          </w:p>
        </w:tc>
        <w:tc>
          <w:tcPr>
            <w:tcW w:w="0" w:type="auto"/>
            <w:shd w:val="clear" w:color="auto" w:fill="auto"/>
            <w:vAlign w:val="center"/>
          </w:tcPr>
          <w:p>
            <w:pPr>
              <w:rPr>
                <w:rFonts w:ascii="仿宋" w:hAnsi="仿宋" w:eastAsia="仿宋"/>
                <w:szCs w:val="21"/>
              </w:rPr>
            </w:pPr>
          </w:p>
        </w:tc>
        <w:tc>
          <w:tcPr>
            <w:tcW w:w="0" w:type="auto"/>
            <w:shd w:val="clear" w:color="auto" w:fill="auto"/>
            <w:vAlign w:val="center"/>
          </w:tcPr>
          <w:p>
            <w:pPr>
              <w:jc w:val="center"/>
              <w:rPr>
                <w:rFonts w:ascii="仿宋" w:hAnsi="仿宋" w:eastAsia="仿宋"/>
                <w:szCs w:val="21"/>
              </w:rPr>
            </w:pPr>
          </w:p>
        </w:tc>
        <w:tc>
          <w:tcPr>
            <w:tcW w:w="0" w:type="auto"/>
            <w:shd w:val="clear" w:color="auto" w:fill="auto"/>
            <w:vAlign w:val="center"/>
          </w:tcPr>
          <w:p>
            <w:pPr>
              <w:jc w:val="center"/>
              <w:rPr>
                <w:rFonts w:ascii="仿宋" w:hAnsi="仿宋" w:eastAsia="仿宋"/>
                <w:szCs w:val="21"/>
              </w:rPr>
            </w:pPr>
          </w:p>
        </w:tc>
        <w:tc>
          <w:tcPr>
            <w:tcW w:w="0" w:type="auto"/>
            <w:shd w:val="clear" w:color="auto" w:fill="auto"/>
            <w:vAlign w:val="center"/>
          </w:tcPr>
          <w:p>
            <w:pPr>
              <w:jc w:val="center"/>
              <w:rPr>
                <w:rFonts w:ascii="仿宋" w:hAnsi="仿宋" w:eastAsia="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3、　　船检证书、捕捞许可证、国籍、所有权证书办理</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船检证书、捕捞许可证、国籍、所有权证书办理</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完成船检证书、捕捞许可证、国籍、所有权证书办理</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完成符合规定的渔船发放船检证书、捕捞许可证、国籍、所有权证书办理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4、　职务船员培训</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培训、考试、发证</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对所有登记在册渔船的机驾长、船员完成培训、考试、发证</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对所有登记在册渔船的机驾长、船员完成培训、考试、发证</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5、　渔业船舶检验</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验船师对辖区登记在册渔船喷涂船名号、进行检验</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验船师对所有登记在册渔船喷涂船名号、登船检验</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验船师对所有登记在册渔船喷涂船名号、登船检验</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6、　安全生产检查、进出港签证、发布禁渔禁航通知</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按时对渔民、渔船进行安全生产检查、进出港签证、发布禁渔禁航通知</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及时发布禁渔禁航通知书，对存在安全生产隐患渔船下达禁航通知书禁止离港，未签证渔船禁止离港</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及时发布禁渔禁航通知书，对存在安全生产隐患渔船下达禁航通知书禁止离港，海上巡查存在隐患渔船，未签证渔船禁止离港</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十一、农业资源保护和生态建设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按照可持续发展和建设生态农业的要求，保护农业资源，改善和保护农村环境。</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按照省委、市政府确定的目标任务，实现农作物秸秆的高效能源化利用</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大气污染物减排完成率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农村能源清洁开发利用</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在全区范围内补贴推广生物质炉具，实现农作物秸秆的高效能源化利用，推动农村厨房改造，解决秸秆乱堆乱放问题，减少大气污染排放，增加农村清洁能源供应。组织农村清洁能源推广培训。协助做好大气污染防治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按照省委、市政府确定的目标任务，实现农作物秸秆的高效能源化利用</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大气污染物减排完成率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2、农业土壤污染治理</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开展农业生物有机缓释肥推广工作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建立健全农产品产地重金属污染防治工作机制，全面掌握农产品产地安全情况，指导全市开展土地污染修复。</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示范任务完成率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90%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80%</w:t>
            </w:r>
          </w:p>
        </w:tc>
        <w:tc>
          <w:tcPr>
            <w:tcW w:w="0" w:type="auto"/>
            <w:shd w:val="clear" w:color="auto" w:fill="auto"/>
            <w:vAlign w:val="center"/>
          </w:tcPr>
          <w:p>
            <w:pPr>
              <w:jc w:val="center"/>
              <w:rPr>
                <w:rFonts w:ascii="仿宋" w:hAnsi="仿宋" w:eastAsia="仿宋" w:cs="宋体"/>
                <w:szCs w:val="21"/>
              </w:rPr>
            </w:pPr>
            <w:r>
              <w:rPr>
                <w:rFonts w:hint="eastAsia" w:ascii="仿宋" w:hAnsi="仿宋" w:eastAsia="仿宋"/>
                <w:szCs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十二、农业科技支撑和公共服务</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12.50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提高农业机械化水平，建立健全农业科技服务和防灾减灾体系，推动农业生产向现代农业发展。</w:t>
            </w:r>
          </w:p>
        </w:tc>
        <w:tc>
          <w:tcPr>
            <w:tcW w:w="0" w:type="auto"/>
            <w:shd w:val="clear" w:color="auto" w:fill="auto"/>
            <w:vAlign w:val="center"/>
          </w:tcPr>
          <w:p>
            <w:pPr>
              <w:rPr>
                <w:rFonts w:ascii="仿宋" w:hAnsi="仿宋" w:eastAsia="仿宋" w:cs="宋体"/>
                <w:szCs w:val="21"/>
              </w:rPr>
            </w:pPr>
            <w:r>
              <w:rPr>
                <w:rFonts w:hint="eastAsia" w:ascii="仿宋" w:hAnsi="仿宋" w:eastAsia="仿宋" w:cs="宋体"/>
                <w:szCs w:val="21"/>
              </w:rPr>
              <w:t>促进农业现代化，提高农业劳动生产率，增加农民收入。</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主要农作物优良品种覆盖率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农资产品鉴定与推广</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依法对农作物种子（种苗）、农药、化肥、、兽药、饲料等农资产品的销售经营和使用进行监督管理。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为农业生产提供优良新品种</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主要农作物优良品种覆盖率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2、农业信息服务</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组织开展农业统计，监测分析农业和农村经济运行，发布农业和农村经济信息，建设农业信息管理体系，指导农业信息服务</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及时向社会发布农业信息</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信息制作发布任务完成率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3、农业项目的实施与监督</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12.50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负责农业项目规划建设农业各类项目政策的实施并监督落实，指导农业专业合作社建设，负责全区农机工作。负责组织开展农产品质量检测、质量安全监管工作。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及时跟踪农产品质量</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农产品质量群众满意度</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4、农业防灾减灾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开展农业生产技术指导培训，农作物病虫害的防治</w:t>
            </w:r>
          </w:p>
        </w:tc>
        <w:tc>
          <w:tcPr>
            <w:tcW w:w="0" w:type="auto"/>
            <w:shd w:val="clear" w:color="auto" w:fill="auto"/>
            <w:vAlign w:val="center"/>
          </w:tcPr>
          <w:p>
            <w:pPr>
              <w:rPr>
                <w:rFonts w:ascii="仿宋" w:hAnsi="仿宋" w:eastAsia="仿宋"/>
                <w:szCs w:val="21"/>
              </w:rPr>
            </w:pPr>
            <w:r>
              <w:rPr>
                <w:rFonts w:hint="eastAsia" w:ascii="仿宋" w:hAnsi="仿宋" w:eastAsia="仿宋"/>
                <w:szCs w:val="21"/>
              </w:rPr>
              <w:t>及时准确报告发布农业灾情，组织指导紧急救灾和灾后恢复</w:t>
            </w:r>
          </w:p>
        </w:tc>
        <w:tc>
          <w:tcPr>
            <w:tcW w:w="0" w:type="auto"/>
            <w:shd w:val="clear" w:color="auto" w:fill="auto"/>
            <w:vAlign w:val="center"/>
          </w:tcPr>
          <w:p>
            <w:pPr>
              <w:rPr>
                <w:rFonts w:ascii="仿宋" w:hAnsi="仿宋" w:eastAsia="仿宋"/>
                <w:szCs w:val="21"/>
              </w:rPr>
            </w:pPr>
            <w:r>
              <w:rPr>
                <w:rFonts w:hint="eastAsia" w:ascii="仿宋" w:hAnsi="仿宋" w:eastAsia="仿宋"/>
                <w:szCs w:val="21"/>
              </w:rPr>
              <w:t>准确、及时报告灾情</w:t>
            </w:r>
          </w:p>
        </w:tc>
        <w:tc>
          <w:tcPr>
            <w:tcW w:w="0" w:type="auto"/>
            <w:shd w:val="clear" w:color="auto" w:fill="auto"/>
            <w:vAlign w:val="center"/>
          </w:tcPr>
          <w:p>
            <w:pPr>
              <w:rPr>
                <w:rFonts w:ascii="仿宋" w:hAnsi="仿宋" w:eastAsia="仿宋"/>
                <w:szCs w:val="21"/>
              </w:rPr>
            </w:pPr>
          </w:p>
        </w:tc>
        <w:tc>
          <w:tcPr>
            <w:tcW w:w="0" w:type="auto"/>
            <w:shd w:val="clear" w:color="auto" w:fill="auto"/>
            <w:vAlign w:val="center"/>
          </w:tcPr>
          <w:p>
            <w:pPr>
              <w:rPr>
                <w:rFonts w:ascii="仿宋" w:hAnsi="仿宋" w:eastAsia="仿宋"/>
                <w:szCs w:val="21"/>
              </w:rPr>
            </w:pPr>
          </w:p>
        </w:tc>
        <w:tc>
          <w:tcPr>
            <w:tcW w:w="0" w:type="auto"/>
            <w:shd w:val="clear" w:color="auto" w:fill="auto"/>
            <w:vAlign w:val="center"/>
          </w:tcPr>
          <w:p>
            <w:pPr>
              <w:rPr>
                <w:rFonts w:ascii="仿宋" w:hAnsi="仿宋" w:eastAsia="仿宋"/>
                <w:szCs w:val="21"/>
              </w:rPr>
            </w:pPr>
          </w:p>
        </w:tc>
        <w:tc>
          <w:tcPr>
            <w:tcW w:w="0" w:type="auto"/>
            <w:shd w:val="clear" w:color="auto" w:fill="auto"/>
            <w:vAlign w:val="center"/>
          </w:tcPr>
          <w:p>
            <w:pPr>
              <w:rPr>
                <w:rFonts w:ascii="仿宋" w:hAnsi="仿宋" w:eastAsia="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十三、农村精神文明创建</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推动农村精神文明建设，创建精神文明新农村</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积极发挥职能作用，加强农村精神文明建设，营造风清气正、文明社会氛围。</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创建率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农村精神文明创建</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制作农村精神文明宣传橱窗、展牌、文明宣传标语、制作村规民约橱窗、展牌，印制全国党员先进事迹材料、道德模范等先进事迹材料</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积极发挥职能作用，加强农村精神文明建设，营造风清气正、文明社会氛围。</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创建率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　农村文化体育建设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组织农民进行秧歌汇演、农村综合运动会、农村文艺汇演</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丰富农民文化生活、提升农民文化素养，创建精神文明</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十四、防治畜禽疫病促进畜牧业发展</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108.82</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负责无害化处理的监督工作。加强对养殖场户的宣传和教育，要求他们对养殖环节死亡的动物严格按照</w:t>
            </w:r>
            <w:r>
              <w:rPr>
                <w:rFonts w:hint="cs" w:ascii="仿宋" w:hAnsi="仿宋" w:eastAsia="仿宋"/>
                <w:szCs w:val="21"/>
              </w:rPr>
              <w:t>“</w:t>
            </w:r>
            <w:r>
              <w:rPr>
                <w:rFonts w:hint="eastAsia" w:ascii="仿宋" w:hAnsi="仿宋" w:eastAsia="仿宋"/>
                <w:szCs w:val="21"/>
              </w:rPr>
              <w:t>四不准一处理</w:t>
            </w:r>
            <w:r>
              <w:rPr>
                <w:rFonts w:hint="cs" w:ascii="仿宋" w:hAnsi="仿宋" w:eastAsia="仿宋"/>
                <w:szCs w:val="21"/>
              </w:rPr>
              <w:t>”</w:t>
            </w:r>
            <w:r>
              <w:rPr>
                <w:rFonts w:hint="eastAsia" w:ascii="仿宋" w:hAnsi="仿宋" w:eastAsia="仿宋"/>
                <w:szCs w:val="21"/>
              </w:rPr>
              <w:t>的要求进行无害化处理。对屠宰环节检出的病死动物和染疫动物的产品监督畜主进行无害化处理，开展消毒灭源工作。有活禽交易的农村农贸市场严格执行休市和闭市消毒制度。发挥公路动物防疫监督检查站作用，有效堵截外疫。加大无害化处理力度，对病死动物和传染动物产品严格按照</w:t>
            </w:r>
            <w:r>
              <w:rPr>
                <w:rFonts w:hint="cs" w:ascii="仿宋" w:hAnsi="仿宋" w:eastAsia="仿宋"/>
                <w:szCs w:val="21"/>
              </w:rPr>
              <w:t>“</w:t>
            </w:r>
            <w:r>
              <w:rPr>
                <w:rFonts w:hint="eastAsia" w:ascii="仿宋" w:hAnsi="仿宋" w:eastAsia="仿宋"/>
                <w:szCs w:val="21"/>
              </w:rPr>
              <w:t>四不准一处理</w:t>
            </w:r>
            <w:r>
              <w:rPr>
                <w:rFonts w:hint="cs" w:ascii="仿宋" w:hAnsi="仿宋" w:eastAsia="仿宋"/>
                <w:szCs w:val="21"/>
              </w:rPr>
              <w:t>”</w:t>
            </w:r>
            <w:r>
              <w:rPr>
                <w:rFonts w:hint="eastAsia" w:ascii="仿宋" w:hAnsi="仿宋" w:eastAsia="仿宋"/>
                <w:szCs w:val="21"/>
              </w:rPr>
              <w:t>的原则进行处理。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 xml:space="preserve">消灭疫情隐患。组织并监督动物饲养场、屠宰加工厂、动物产品储藏场所以及动物和动物产品交易市场建立消毒制度，病死动物无害化处理确保疫情不扩散，促进畜牧业发展。             </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消灭疫情完成率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1、病死动物无害化处理及补助。</w:t>
            </w:r>
            <w:r>
              <w:rPr>
                <w:rFonts w:ascii="方正书宋_GBK" w:eastAsia="方正书宋_GBK"/>
                <w:b/>
              </w:rPr>
              <w:t xml:space="preserve">        </w:t>
            </w:r>
            <w:r>
              <w:rPr>
                <w:rFonts w:hint="eastAsia" w:ascii="方正书宋_GBK" w:eastAsia="方正书宋_GBK"/>
                <w:b/>
              </w:rPr>
              <w:t>消毒灭源</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108.82</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落实病死动物无害化处理的统计工作，建立完善的病死动物无害化处理体系，及补助工作。组织开展全区的消毒灭源工作。</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 xml:space="preserve">消灭疫情隐患。组织并监督动物饲养场、屠宰加工厂、动物产品储藏场所以及动物和动物产品交易市场建立消毒制度，病死动物无害化处理确保疫情不扩散，促进畜牧业发展。             </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消灭疫情完成率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十五、动物防疫、检疫、防疫监督、疫情监测动物疫病医治、预防</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25.95</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强化基础免疫，保证免疫效果。组织开展高致病性禽流感、口蹄疫等重点疫病的强制免疫工作。所需疫苗、畜禽标识逐级供应，及时上报所需计划，严禁私自采购。组织动物防疫人员、规模饲养场严格按照规定的免疫程序进行免疫。</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通过免疫的全面覆盖将疫病对畜禽生产影响降到最低，促进畜牧业发展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春、秋两季重大动物疫病全面疫病防疫</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25.95</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落实春、秋两季重大动物疫病防疫政策，建立完善动物防疫体系。组织开展动物的防疫工作，发布疫情并组织扑灭。</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通过免疫的全面覆盖将疫病对畜禽生产影响降到最低，促进畜牧业发展</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十六 、兽药饲料监管畜牧技术推广</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10.50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认真履行监督职责，扎实做好兽药、饲料行业监管工作。按照《兽药管理条例》及《饲料管理条例》有关法规要求，对辖区内兽药、饲料生产、经营、使用单位进行监督检查。严格兽药、饲料经营企业准入制度，重点打击经营假劣兽药、饲料行为。以规范养殖场为突破口，稳步推进兽药、饲料使用管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禁止使用假劣兽药、饲料和违禁兽药、饲料。督促企业实行兽药、饲料购入、售出及使用登记制度，建立可追溯的兽药、饲料管理体系。</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兽药、饲料的专项整治</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10.50</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落实兽药、饲料的管理条例建立兽药饲料的管理体系。</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禁止使用假劣兽药、饲料和违禁兽药、饲料。督促企业实行兽药、饲料购入、售出及使用登记制度，建立可追溯的兽药、饲料管理体系。</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完成率</w:t>
            </w:r>
          </w:p>
        </w:tc>
        <w:tc>
          <w:tcPr>
            <w:tcW w:w="0" w:type="auto"/>
            <w:shd w:val="clear" w:color="auto" w:fill="auto"/>
            <w:vAlign w:val="center"/>
          </w:tcPr>
          <w:p>
            <w:pPr>
              <w:spacing w:line="300" w:lineRule="exact"/>
              <w:jc w:val="center"/>
              <w:rPr>
                <w:rFonts w:ascii="仿宋" w:hAnsi="仿宋" w:eastAsia="仿宋"/>
                <w:szCs w:val="21"/>
              </w:rPr>
            </w:pPr>
          </w:p>
        </w:tc>
        <w:tc>
          <w:tcPr>
            <w:tcW w:w="0" w:type="auto"/>
            <w:shd w:val="clear" w:color="auto" w:fill="auto"/>
            <w:vAlign w:val="center"/>
          </w:tcPr>
          <w:p>
            <w:pPr>
              <w:spacing w:line="300" w:lineRule="exact"/>
              <w:jc w:val="center"/>
              <w:rPr>
                <w:rFonts w:ascii="仿宋" w:hAnsi="仿宋" w:eastAsia="仿宋"/>
                <w:szCs w:val="21"/>
              </w:rPr>
            </w:pPr>
          </w:p>
        </w:tc>
        <w:tc>
          <w:tcPr>
            <w:tcW w:w="0" w:type="auto"/>
            <w:shd w:val="clear" w:color="auto" w:fill="auto"/>
            <w:vAlign w:val="center"/>
          </w:tcPr>
          <w:p>
            <w:pPr>
              <w:spacing w:line="300" w:lineRule="exact"/>
              <w:jc w:val="center"/>
              <w:rPr>
                <w:rFonts w:ascii="仿宋" w:hAnsi="仿宋" w:eastAsia="仿宋"/>
                <w:szCs w:val="21"/>
              </w:rPr>
            </w:pPr>
          </w:p>
        </w:tc>
        <w:tc>
          <w:tcPr>
            <w:tcW w:w="0" w:type="auto"/>
            <w:shd w:val="clear" w:color="auto" w:fill="auto"/>
            <w:vAlign w:val="center"/>
          </w:tcPr>
          <w:p>
            <w:pPr>
              <w:spacing w:line="300" w:lineRule="exact"/>
              <w:jc w:val="center"/>
              <w:rPr>
                <w:rFonts w:ascii="仿宋" w:hAnsi="仿宋" w:eastAsia="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8"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十七、畜牧业质量监督</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5.68</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屠宰检疫工作。对定点屠宰实施同步检疫，坚持按时到岗、跟班作业，严把入场验证关、待宰关、同步检疫关和宰后处理关，积极配合有关部门开展定点屠宰厂检查督导工作，并做好屠宰检疫的准备工作。负责动物产地检疫工作。按照《动物防疫法》的要求，全面落实产地检疫申报制度，严格按照《畜禽产地检疫规程》和检疫期限的规定。</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做好产地检疫及屠宰检疫，保证让消费者吃上无疫病的“放心肉”</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产地检疫完成率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0"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官方兽医到场检疫</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5.68</w:t>
            </w: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到产地实施现场检疫。强制免疫的动物严格执行凭畜禽标识和免疫证明出具产地检疫证明制度，实现以检促免，免检结合。</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做好产地检疫及屠宰检疫，保证让消费者吃上无疫病的“放心肉”</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产地检疫完成率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十八、牧兽医器材管理</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负责春秋两次重大疫病动物防疫的疫苗及相关的兽医器材的发放管理</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确保免疫的顺利进行</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免疫完成率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0" w:type="auto"/>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　防疫兽医器材发放</w:t>
            </w:r>
          </w:p>
        </w:tc>
        <w:tc>
          <w:tcPr>
            <w:tcW w:w="0" w:type="auto"/>
            <w:shd w:val="clear" w:color="auto" w:fill="auto"/>
            <w:vAlign w:val="center"/>
          </w:tcPr>
          <w:p>
            <w:pPr>
              <w:spacing w:line="300" w:lineRule="exact"/>
              <w:jc w:val="left"/>
              <w:rPr>
                <w:rFonts w:ascii="仿宋" w:hAnsi="仿宋" w:eastAsia="仿宋"/>
                <w:szCs w:val="21"/>
              </w:rPr>
            </w:pPr>
          </w:p>
        </w:tc>
        <w:tc>
          <w:tcPr>
            <w:tcW w:w="0" w:type="auto"/>
            <w:shd w:val="clear" w:color="auto" w:fill="auto"/>
            <w:vAlign w:val="center"/>
          </w:tcPr>
          <w:p>
            <w:pPr>
              <w:spacing w:line="300" w:lineRule="exact"/>
              <w:jc w:val="left"/>
              <w:rPr>
                <w:rFonts w:ascii="仿宋" w:hAnsi="仿宋" w:eastAsia="仿宋"/>
                <w:szCs w:val="21"/>
              </w:rPr>
            </w:pPr>
            <w:r>
              <w:rPr>
                <w:rFonts w:hint="eastAsia" w:ascii="仿宋" w:hAnsi="仿宋" w:eastAsia="仿宋"/>
                <w:szCs w:val="21"/>
              </w:rPr>
              <w:t>落实春秋重大动物疫病兽医器材发放。</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确保免疫的顺利进行</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免疫完成率</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100%</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95%及以上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90%及以上</w:t>
            </w:r>
          </w:p>
        </w:tc>
        <w:tc>
          <w:tcPr>
            <w:tcW w:w="0" w:type="auto"/>
            <w:shd w:val="clear" w:color="auto" w:fill="auto"/>
            <w:vAlign w:val="center"/>
          </w:tcPr>
          <w:p>
            <w:pPr>
              <w:rPr>
                <w:rFonts w:ascii="仿宋" w:hAnsi="仿宋" w:eastAsia="仿宋" w:cs="宋体"/>
                <w:szCs w:val="21"/>
              </w:rPr>
            </w:pPr>
            <w:r>
              <w:rPr>
                <w:rFonts w:hint="eastAsia" w:ascii="仿宋" w:hAnsi="仿宋" w:eastAsia="仿宋"/>
                <w:szCs w:val="21"/>
              </w:rPr>
              <w:t>90%以下</w:t>
            </w:r>
          </w:p>
        </w:tc>
      </w:tr>
    </w:tbl>
    <w:p>
      <w:pPr>
        <w:spacing w:line="300" w:lineRule="exact"/>
        <w:jc w:val="left"/>
        <w:outlineLvl w:val="0"/>
        <w:sectPr>
          <w:pgSz w:w="16839" w:h="11907" w:orient="landscape"/>
          <w:pgMar w:top="1021" w:right="1361" w:bottom="1021" w:left="1361" w:header="851" w:footer="992" w:gutter="0"/>
          <w:cols w:space="425" w:num="1"/>
          <w:docGrid w:type="lines" w:linePitch="312" w:charSpace="0"/>
        </w:sectPr>
      </w:pPr>
    </w:p>
    <w:p>
      <w:pPr>
        <w:spacing w:line="400" w:lineRule="exact"/>
        <w:rPr>
          <w:rFonts w:eastAsia="黑体"/>
          <w:sz w:val="32"/>
          <w:szCs w:val="32"/>
        </w:rPr>
      </w:pPr>
      <w:r>
        <w:rPr>
          <w:rFonts w:hint="eastAsia" w:eastAsia="黑体"/>
          <w:sz w:val="32"/>
          <w:szCs w:val="32"/>
        </w:rPr>
        <w:t>第六部分</w:t>
      </w:r>
      <w:r>
        <w:rPr>
          <w:rFonts w:eastAsia="黑体"/>
          <w:sz w:val="32"/>
          <w:szCs w:val="32"/>
        </w:rPr>
        <w:t xml:space="preserve">  </w:t>
      </w:r>
      <w:r>
        <w:rPr>
          <w:rFonts w:hint="eastAsia" w:eastAsia="黑体"/>
          <w:sz w:val="32"/>
          <w:szCs w:val="32"/>
        </w:rPr>
        <w:t>政府采购预算情况</w:t>
      </w:r>
    </w:p>
    <w:p>
      <w:pPr>
        <w:widowControl/>
        <w:shd w:val="clear" w:color="auto" w:fill="FFFFFF"/>
        <w:spacing w:line="421" w:lineRule="atLeast"/>
        <w:jc w:val="left"/>
        <w:rPr>
          <w:rFonts w:eastAsia="微软雅黑"/>
          <w:color w:val="333333"/>
          <w:kern w:val="0"/>
          <w:sz w:val="32"/>
          <w:szCs w:val="32"/>
        </w:rPr>
      </w:pPr>
      <w:r>
        <w:rPr>
          <w:rFonts w:eastAsia="微软雅黑"/>
          <w:color w:val="333333"/>
          <w:kern w:val="0"/>
          <w:sz w:val="32"/>
          <w:szCs w:val="32"/>
        </w:rPr>
        <w:t>  </w:t>
      </w:r>
      <w:r>
        <w:rPr>
          <w:rFonts w:hint="eastAsia" w:eastAsia="微软雅黑"/>
          <w:color w:val="333333"/>
          <w:kern w:val="0"/>
          <w:sz w:val="32"/>
          <w:szCs w:val="32"/>
        </w:rPr>
        <w:t xml:space="preserve"> </w:t>
      </w:r>
      <w:r>
        <w:rPr>
          <w:rFonts w:hint="eastAsia" w:ascii="仿宋_GB2312" w:hAnsi="微软雅黑" w:eastAsia="仿宋_GB2312" w:cs="宋体"/>
          <w:color w:val="333333"/>
          <w:kern w:val="0"/>
          <w:sz w:val="32"/>
          <w:szCs w:val="32"/>
        </w:rPr>
        <w:t>2019年，安排政府采购预算193.00万元。具体内容见下表：</w:t>
      </w:r>
    </w:p>
    <w:p>
      <w:pPr>
        <w:jc w:val="center"/>
        <w:outlineLvl w:val="0"/>
        <w:rPr>
          <w:rFonts w:ascii="方正小标宋_GBK" w:eastAsia="方正小标宋_GBK"/>
          <w:sz w:val="32"/>
        </w:rPr>
      </w:pPr>
      <w:bookmarkStart w:id="6" w:name="_Toc505303762"/>
      <w:r>
        <w:rPr>
          <w:rFonts w:hint="eastAsia" w:ascii="方正小标宋_GBK" w:eastAsia="方正小标宋_GBK"/>
          <w:sz w:val="32"/>
        </w:rPr>
        <w:t>部门政府采购预算</w:t>
      </w:r>
      <w:bookmarkEnd w:id="6"/>
    </w:p>
    <w:tbl>
      <w:tblPr>
        <w:tblStyle w:val="6"/>
        <w:tblW w:w="48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47"/>
        <w:gridCol w:w="1098"/>
        <w:gridCol w:w="973"/>
        <w:gridCol w:w="985"/>
        <w:gridCol w:w="760"/>
        <w:gridCol w:w="760"/>
        <w:gridCol w:w="857"/>
        <w:gridCol w:w="961"/>
        <w:gridCol w:w="961"/>
        <w:gridCol w:w="961"/>
        <w:gridCol w:w="962"/>
        <w:gridCol w:w="965"/>
        <w:gridCol w:w="965"/>
        <w:gridCol w:w="9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5"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秦皇岛经济技术开发区农村工作局</w:t>
            </w:r>
          </w:p>
        </w:tc>
        <w:tc>
          <w:tcPr>
            <w:tcW w:w="2295"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217"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3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3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26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93"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295" w:type="pct"/>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34" w:type="pct"/>
            <w:vMerge w:val="continue"/>
            <w:shd w:val="clear" w:color="auto" w:fill="auto"/>
            <w:vAlign w:val="center"/>
          </w:tcPr>
          <w:p>
            <w:pPr>
              <w:spacing w:line="300" w:lineRule="exact"/>
              <w:jc w:val="left"/>
              <w:outlineLvl w:val="0"/>
            </w:pPr>
          </w:p>
        </w:tc>
        <w:tc>
          <w:tcPr>
            <w:tcW w:w="338"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93" w:type="pct"/>
            <w:vMerge w:val="continue"/>
            <w:shd w:val="clear" w:color="auto" w:fill="auto"/>
            <w:vAlign w:val="center"/>
          </w:tcPr>
          <w:p>
            <w:pPr>
              <w:spacing w:line="300" w:lineRule="exact"/>
              <w:jc w:val="left"/>
              <w:outlineLvl w:val="0"/>
            </w:pPr>
          </w:p>
        </w:tc>
        <w:tc>
          <w:tcPr>
            <w:tcW w:w="33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65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continue"/>
            <w:shd w:val="clear" w:color="auto" w:fill="auto"/>
            <w:vAlign w:val="center"/>
          </w:tcPr>
          <w:p>
            <w:pPr>
              <w:spacing w:line="300" w:lineRule="exact"/>
              <w:jc w:val="left"/>
              <w:outlineLvl w:val="0"/>
            </w:pPr>
          </w:p>
        </w:tc>
        <w:tc>
          <w:tcPr>
            <w:tcW w:w="377" w:type="pct"/>
            <w:vMerge w:val="continue"/>
            <w:shd w:val="clear" w:color="auto" w:fill="auto"/>
            <w:vAlign w:val="center"/>
          </w:tcPr>
          <w:p>
            <w:pPr>
              <w:spacing w:line="300" w:lineRule="exact"/>
              <w:jc w:val="left"/>
              <w:outlineLvl w:val="0"/>
            </w:pPr>
          </w:p>
        </w:tc>
        <w:tc>
          <w:tcPr>
            <w:tcW w:w="334" w:type="pct"/>
            <w:vMerge w:val="continue"/>
            <w:shd w:val="clear" w:color="auto" w:fill="auto"/>
            <w:vAlign w:val="center"/>
          </w:tcPr>
          <w:p>
            <w:pPr>
              <w:spacing w:line="300" w:lineRule="exact"/>
              <w:jc w:val="left"/>
              <w:outlineLvl w:val="0"/>
            </w:pPr>
          </w:p>
        </w:tc>
        <w:tc>
          <w:tcPr>
            <w:tcW w:w="338"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93" w:type="pct"/>
            <w:vMerge w:val="continue"/>
            <w:shd w:val="clear" w:color="auto" w:fill="auto"/>
            <w:vAlign w:val="center"/>
          </w:tcPr>
          <w:p>
            <w:pPr>
              <w:spacing w:line="300" w:lineRule="exact"/>
              <w:jc w:val="left"/>
              <w:outlineLvl w:val="0"/>
            </w:pPr>
          </w:p>
        </w:tc>
        <w:tc>
          <w:tcPr>
            <w:tcW w:w="330" w:type="pct"/>
            <w:vMerge w:val="continue"/>
            <w:shd w:val="clear" w:color="auto" w:fill="auto"/>
            <w:vAlign w:val="center"/>
          </w:tcPr>
          <w:p>
            <w:pPr>
              <w:spacing w:line="300" w:lineRule="exact"/>
              <w:jc w:val="left"/>
              <w:outlineLvl w:val="0"/>
            </w:pP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3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3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314" w:type="pct"/>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pPr>
              <w:spacing w:line="300" w:lineRule="exact"/>
              <w:jc w:val="right"/>
              <w:rPr>
                <w:rFonts w:ascii="方正书宋_GBK" w:eastAsia="方正书宋_GBK"/>
                <w:b/>
              </w:rPr>
            </w:pPr>
          </w:p>
        </w:tc>
        <w:tc>
          <w:tcPr>
            <w:tcW w:w="334" w:type="pct"/>
            <w:shd w:val="clear" w:color="auto" w:fill="auto"/>
            <w:vAlign w:val="center"/>
          </w:tcPr>
          <w:p>
            <w:pPr>
              <w:spacing w:line="300" w:lineRule="exact"/>
              <w:jc w:val="left"/>
              <w:rPr>
                <w:rFonts w:ascii="方正书宋_GBK" w:eastAsia="方正书宋_GBK"/>
                <w:b/>
              </w:rPr>
            </w:pPr>
          </w:p>
        </w:tc>
        <w:tc>
          <w:tcPr>
            <w:tcW w:w="338"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right"/>
              <w:rPr>
                <w:rFonts w:ascii="方正书宋_GBK" w:eastAsia="方正书宋_GBK"/>
                <w:b/>
              </w:rPr>
            </w:pPr>
          </w:p>
        </w:tc>
        <w:tc>
          <w:tcPr>
            <w:tcW w:w="293" w:type="pct"/>
            <w:shd w:val="clear" w:color="auto" w:fill="auto"/>
            <w:vAlign w:val="center"/>
          </w:tcPr>
          <w:p>
            <w:pPr>
              <w:spacing w:line="300" w:lineRule="exact"/>
              <w:jc w:val="right"/>
              <w:rPr>
                <w:rFonts w:ascii="方正书宋_GBK" w:eastAsia="方正书宋_GBK"/>
                <w:b/>
              </w:rPr>
            </w:pP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p>
        </w:tc>
        <w:tc>
          <w:tcPr>
            <w:tcW w:w="314"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秦皇岛经济技术开发区农村工作局小计</w:t>
            </w:r>
          </w:p>
        </w:tc>
        <w:tc>
          <w:tcPr>
            <w:tcW w:w="377" w:type="pct"/>
            <w:shd w:val="clear" w:color="auto" w:fill="auto"/>
            <w:vAlign w:val="center"/>
          </w:tcPr>
          <w:p>
            <w:pPr>
              <w:spacing w:line="300" w:lineRule="exact"/>
              <w:jc w:val="right"/>
              <w:rPr>
                <w:rFonts w:ascii="方正书宋_GBK" w:eastAsia="方正书宋_GBK"/>
                <w:b/>
              </w:rPr>
            </w:pPr>
          </w:p>
        </w:tc>
        <w:tc>
          <w:tcPr>
            <w:tcW w:w="334" w:type="pct"/>
            <w:shd w:val="clear" w:color="auto" w:fill="auto"/>
            <w:vAlign w:val="center"/>
          </w:tcPr>
          <w:p>
            <w:pPr>
              <w:spacing w:line="300" w:lineRule="exact"/>
              <w:jc w:val="left"/>
              <w:rPr>
                <w:rFonts w:ascii="方正书宋_GBK" w:eastAsia="方正书宋_GBK"/>
                <w:b/>
              </w:rPr>
            </w:pPr>
          </w:p>
        </w:tc>
        <w:tc>
          <w:tcPr>
            <w:tcW w:w="338"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right"/>
              <w:rPr>
                <w:rFonts w:ascii="方正书宋_GBK" w:eastAsia="方正书宋_GBK"/>
                <w:b/>
              </w:rPr>
            </w:pPr>
          </w:p>
        </w:tc>
        <w:tc>
          <w:tcPr>
            <w:tcW w:w="293" w:type="pct"/>
            <w:shd w:val="clear" w:color="auto" w:fill="auto"/>
            <w:vAlign w:val="center"/>
          </w:tcPr>
          <w:p>
            <w:pPr>
              <w:spacing w:line="300" w:lineRule="exact"/>
              <w:jc w:val="right"/>
              <w:rPr>
                <w:rFonts w:ascii="方正书宋_GBK" w:eastAsia="方正书宋_GBK"/>
                <w:b/>
              </w:rPr>
            </w:pP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tcPr>
          <w:p>
            <w:r>
              <w:rPr>
                <w:rFonts w:hint="eastAsia" w:ascii="方正书宋_GBK" w:eastAsia="方正书宋_GBK"/>
              </w:rPr>
              <w:t>193.00</w:t>
            </w:r>
            <w:r>
              <w:rPr>
                <w:rFonts w:ascii="方正书宋_GBK" w:eastAsia="方正书宋_GBK"/>
              </w:rPr>
              <w:t>8</w:t>
            </w:r>
          </w:p>
        </w:tc>
        <w:tc>
          <w:tcPr>
            <w:tcW w:w="330"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p>
        </w:tc>
        <w:tc>
          <w:tcPr>
            <w:tcW w:w="314"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秦财农[2018]930号提前下达2019年省级农村人居环境整治专项转移支付预算</w:t>
            </w:r>
          </w:p>
        </w:tc>
        <w:tc>
          <w:tcPr>
            <w:tcW w:w="377"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193.00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环保工程施工</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w:t>
            </w:r>
            <w:r>
              <w:rPr>
                <w:rFonts w:hint="eastAsia" w:ascii="方正书宋_GBK" w:eastAsia="方正书宋_GBK"/>
              </w:rPr>
              <w:t>0216</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个</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3"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193.00</w:t>
            </w:r>
          </w:p>
        </w:tc>
        <w:tc>
          <w:tcPr>
            <w:tcW w:w="330"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193.00</w:t>
            </w:r>
            <w:r>
              <w:rPr>
                <w:rFonts w:ascii="方正书宋_GBK" w:eastAsia="方正书宋_GBK"/>
              </w:rPr>
              <w:t>8</w:t>
            </w:r>
          </w:p>
        </w:tc>
        <w:tc>
          <w:tcPr>
            <w:tcW w:w="330"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193.00</w:t>
            </w:r>
          </w:p>
        </w:tc>
        <w:tc>
          <w:tcPr>
            <w:tcW w:w="330"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193.00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4" w:type="pct"/>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rPr>
          <w:rFonts w:eastAsia="黑体"/>
          <w:sz w:val="32"/>
          <w:szCs w:val="32"/>
        </w:rPr>
      </w:pPr>
      <w:r>
        <w:rPr>
          <w:rFonts w:hint="eastAsia" w:eastAsia="黑体"/>
          <w:sz w:val="32"/>
          <w:szCs w:val="32"/>
        </w:rPr>
        <w:t>第七部分</w:t>
      </w:r>
      <w:r>
        <w:rPr>
          <w:rFonts w:eastAsia="黑体"/>
          <w:sz w:val="32"/>
          <w:szCs w:val="32"/>
        </w:rPr>
        <w:t xml:space="preserve"> </w:t>
      </w:r>
      <w:r>
        <w:rPr>
          <w:rFonts w:hint="eastAsia" w:eastAsia="黑体"/>
          <w:sz w:val="32"/>
          <w:szCs w:val="32"/>
        </w:rPr>
        <w:t>国有资产信息</w:t>
      </w:r>
    </w:p>
    <w:tbl>
      <w:tblPr>
        <w:tblStyle w:val="6"/>
        <w:tblpPr w:leftFromText="180" w:rightFromText="180" w:vertAnchor="text" w:horzAnchor="margin" w:tblpY="1094"/>
        <w:tblW w:w="0" w:type="auto"/>
        <w:tblInd w:w="0" w:type="dxa"/>
        <w:shd w:val="clear" w:color="auto" w:fill="FFFFFF"/>
        <w:tblLayout w:type="fixed"/>
        <w:tblCellMar>
          <w:top w:w="0" w:type="dxa"/>
          <w:left w:w="108" w:type="dxa"/>
          <w:bottom w:w="0" w:type="dxa"/>
          <w:right w:w="108" w:type="dxa"/>
        </w:tblCellMar>
      </w:tblPr>
      <w:tblGrid>
        <w:gridCol w:w="5224"/>
        <w:gridCol w:w="3155"/>
        <w:gridCol w:w="5103"/>
      </w:tblGrid>
      <w:tr>
        <w:tblPrEx>
          <w:shd w:val="clear" w:color="auto" w:fill="FFFFFF"/>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FFFFFF"/>
            <w:vAlign w:val="center"/>
          </w:tcPr>
          <w:p>
            <w:pPr>
              <w:widowControl/>
              <w:spacing w:line="421" w:lineRule="atLeast"/>
              <w:ind w:firstLine="4000" w:firstLineChars="1245"/>
              <w:rPr>
                <w:rFonts w:ascii="微软雅黑" w:hAnsi="微软雅黑" w:eastAsia="微软雅黑" w:cs="宋体"/>
                <w:color w:val="333333"/>
                <w:kern w:val="0"/>
                <w:sz w:val="25"/>
                <w:szCs w:val="25"/>
              </w:rPr>
            </w:pPr>
            <w:r>
              <w:rPr>
                <w:rFonts w:hint="eastAsia" w:ascii="宋体" w:hAnsi="宋体" w:cs="宋体"/>
                <w:b/>
                <w:bCs/>
                <w:color w:val="333333"/>
                <w:kern w:val="0"/>
                <w:sz w:val="32"/>
                <w:szCs w:val="32"/>
              </w:rPr>
              <w:t>农工局部门固定资产占用情况表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FFFFFF"/>
            <w:vAlign w:val="center"/>
          </w:tcPr>
          <w:p>
            <w:pPr>
              <w:widowControl/>
              <w:spacing w:line="421" w:lineRule="atLeast"/>
              <w:jc w:val="left"/>
              <w:rPr>
                <w:rFonts w:ascii="微软雅黑" w:hAnsi="微软雅黑" w:eastAsia="微软雅黑" w:cs="宋体"/>
                <w:color w:val="333333"/>
                <w:kern w:val="0"/>
                <w:sz w:val="25"/>
                <w:szCs w:val="25"/>
              </w:rPr>
            </w:pPr>
            <w:r>
              <w:rPr>
                <w:rFonts w:hint="eastAsia" w:ascii="宋体" w:hAnsi="宋体" w:cs="宋体"/>
                <w:color w:val="333333"/>
                <w:kern w:val="0"/>
                <w:sz w:val="22"/>
                <w:szCs w:val="22"/>
              </w:rPr>
              <w:t>编制部门：秦皇岛经济技术开发区农村工作局部门</w:t>
            </w:r>
          </w:p>
        </w:tc>
        <w:tc>
          <w:tcPr>
            <w:tcW w:w="5103" w:type="dxa"/>
            <w:tcBorders>
              <w:top w:val="nil"/>
              <w:left w:val="nil"/>
              <w:bottom w:val="nil"/>
              <w:right w:val="nil"/>
            </w:tcBorders>
            <w:shd w:val="clear" w:color="auto" w:fill="FFFFFF"/>
            <w:vAlign w:val="center"/>
          </w:tcPr>
          <w:p>
            <w:pPr>
              <w:widowControl/>
              <w:spacing w:line="421" w:lineRule="atLeast"/>
              <w:jc w:val="right"/>
              <w:rPr>
                <w:rFonts w:ascii="微软雅黑" w:hAnsi="微软雅黑" w:eastAsia="微软雅黑" w:cs="宋体"/>
                <w:color w:val="333333"/>
                <w:kern w:val="0"/>
                <w:sz w:val="25"/>
                <w:szCs w:val="25"/>
              </w:rPr>
            </w:pPr>
            <w:r>
              <w:rPr>
                <w:rFonts w:hint="eastAsia" w:ascii="宋体" w:hAnsi="宋体" w:cs="宋体"/>
                <w:color w:val="333333"/>
                <w:kern w:val="0"/>
                <w:sz w:val="22"/>
                <w:szCs w:val="22"/>
              </w:rPr>
              <w:t>截止时间：2018年12月31日  </w:t>
            </w:r>
          </w:p>
        </w:tc>
      </w:tr>
      <w:tr>
        <w:tblPrEx>
          <w:tblCellMar>
            <w:top w:w="0" w:type="dxa"/>
            <w:left w:w="108" w:type="dxa"/>
            <w:bottom w:w="0" w:type="dxa"/>
            <w:right w:w="108" w:type="dxa"/>
          </w:tblCellMar>
        </w:tblPrEx>
        <w:trPr>
          <w:trHeight w:val="645" w:hRule="atLeast"/>
        </w:trPr>
        <w:tc>
          <w:tcPr>
            <w:tcW w:w="5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项</w:t>
            </w:r>
            <w:r>
              <w:rPr>
                <w:rFonts w:hint="eastAsia" w:ascii="宋体" w:hAnsi="宋体" w:cs="宋体"/>
                <w:b/>
                <w:bCs/>
                <w:color w:val="333333"/>
                <w:kern w:val="0"/>
                <w:sz w:val="22"/>
                <w:szCs w:val="22"/>
              </w:rPr>
              <w:t>   </w:t>
            </w:r>
            <w:r>
              <w:rPr>
                <w:rFonts w:hint="eastAsia" w:ascii="仿宋" w:hAnsi="仿宋" w:eastAsia="仿宋" w:cs="宋体"/>
                <w:b/>
                <w:bCs/>
                <w:color w:val="333333"/>
                <w:kern w:val="0"/>
                <w:sz w:val="22"/>
                <w:szCs w:val="22"/>
              </w:rPr>
              <w:t>目</w:t>
            </w:r>
          </w:p>
        </w:tc>
        <w:tc>
          <w:tcPr>
            <w:tcW w:w="315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数量</w:t>
            </w:r>
          </w:p>
        </w:tc>
        <w:tc>
          <w:tcPr>
            <w:tcW w:w="5103"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价值（金额单位：万元）</w:t>
            </w:r>
          </w:p>
        </w:tc>
      </w:tr>
      <w:tr>
        <w:tblPrEx>
          <w:shd w:val="clear" w:color="auto" w:fill="FFFFFF"/>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资产总额</w:t>
            </w:r>
          </w:p>
        </w:tc>
        <w:tc>
          <w:tcPr>
            <w:tcW w:w="3155" w:type="dxa"/>
            <w:tcBorders>
              <w:top w:val="nil"/>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w:t>
            </w:r>
          </w:p>
        </w:tc>
        <w:tc>
          <w:tcPr>
            <w:tcW w:w="5103" w:type="dxa"/>
            <w:tcBorders>
              <w:top w:val="nil"/>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464.46</w:t>
            </w:r>
          </w:p>
        </w:tc>
      </w:tr>
      <w:tr>
        <w:tblPrEx>
          <w:shd w:val="clear" w:color="auto" w:fill="FFFFFF"/>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1、房屋（平方米）</w:t>
            </w:r>
          </w:p>
        </w:tc>
        <w:tc>
          <w:tcPr>
            <w:tcW w:w="315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color w:val="333333"/>
                <w:kern w:val="0"/>
                <w:sz w:val="22"/>
                <w:szCs w:val="22"/>
              </w:rPr>
            </w:pPr>
            <w:r>
              <w:rPr>
                <w:rFonts w:ascii="微软雅黑" w:hAnsi="微软雅黑" w:cs="宋体"/>
                <w:color w:val="333333"/>
                <w:kern w:val="0"/>
                <w:sz w:val="22"/>
                <w:szCs w:val="22"/>
              </w:rPr>
              <w:t>　</w:t>
            </w:r>
          </w:p>
        </w:tc>
        <w:tc>
          <w:tcPr>
            <w:tcW w:w="510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kern w:val="0"/>
                <w:sz w:val="22"/>
                <w:szCs w:val="22"/>
              </w:rPr>
            </w:pPr>
            <w:r>
              <w:rPr>
                <w:rFonts w:ascii="微软雅黑" w:hAnsi="微软雅黑" w:cs="宋体"/>
                <w:kern w:val="0"/>
                <w:sz w:val="22"/>
                <w:szCs w:val="22"/>
              </w:rPr>
              <w:t>　</w:t>
            </w:r>
          </w:p>
        </w:tc>
      </w:tr>
      <w:tr>
        <w:tblPrEx>
          <w:shd w:val="clear" w:color="auto" w:fill="FFFFFF"/>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宋体" w:hAnsi="宋体" w:cs="宋体"/>
                <w:color w:val="333333"/>
                <w:kern w:val="0"/>
                <w:sz w:val="22"/>
                <w:szCs w:val="22"/>
              </w:rPr>
              <w:t>   </w:t>
            </w:r>
            <w:r>
              <w:rPr>
                <w:rFonts w:hint="eastAsia" w:ascii="仿宋" w:hAnsi="仿宋" w:eastAsia="仿宋" w:cs="宋体"/>
                <w:color w:val="333333"/>
                <w:kern w:val="0"/>
                <w:sz w:val="22"/>
                <w:szCs w:val="22"/>
              </w:rPr>
              <w:t>其中：办公用房（平方米）</w:t>
            </w:r>
          </w:p>
        </w:tc>
        <w:tc>
          <w:tcPr>
            <w:tcW w:w="315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color w:val="333333"/>
                <w:kern w:val="0"/>
                <w:sz w:val="22"/>
                <w:szCs w:val="22"/>
              </w:rPr>
            </w:pPr>
            <w:r>
              <w:rPr>
                <w:rFonts w:ascii="微软雅黑" w:hAnsi="微软雅黑" w:cs="宋体"/>
                <w:color w:val="333333"/>
                <w:kern w:val="0"/>
                <w:sz w:val="22"/>
                <w:szCs w:val="22"/>
              </w:rPr>
              <w:t>　</w:t>
            </w:r>
          </w:p>
        </w:tc>
        <w:tc>
          <w:tcPr>
            <w:tcW w:w="510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kern w:val="0"/>
                <w:sz w:val="22"/>
                <w:szCs w:val="22"/>
              </w:rPr>
            </w:pPr>
            <w:r>
              <w:rPr>
                <w:rFonts w:ascii="微软雅黑" w:hAnsi="微软雅黑" w:cs="宋体"/>
                <w:kern w:val="0"/>
                <w:sz w:val="22"/>
                <w:szCs w:val="22"/>
              </w:rPr>
              <w:t>　</w:t>
            </w:r>
          </w:p>
        </w:tc>
      </w:tr>
      <w:tr>
        <w:tblPrEx>
          <w:shd w:val="clear" w:color="auto" w:fill="FFFFFF"/>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2、车辆（台、辆）</w:t>
            </w:r>
          </w:p>
        </w:tc>
        <w:tc>
          <w:tcPr>
            <w:tcW w:w="3155" w:type="dxa"/>
            <w:tcBorders>
              <w:top w:val="nil"/>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4</w:t>
            </w:r>
          </w:p>
        </w:tc>
        <w:tc>
          <w:tcPr>
            <w:tcW w:w="5103" w:type="dxa"/>
            <w:tcBorders>
              <w:top w:val="nil"/>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61.81</w:t>
            </w:r>
          </w:p>
        </w:tc>
      </w:tr>
      <w:tr>
        <w:tblPrEx>
          <w:shd w:val="clear" w:color="auto" w:fill="FFFFFF"/>
          <w:tblCellMar>
            <w:top w:w="0" w:type="dxa"/>
            <w:left w:w="108" w:type="dxa"/>
            <w:bottom w:w="0" w:type="dxa"/>
            <w:right w:w="108" w:type="dxa"/>
          </w:tblCellMar>
        </w:tblPrEx>
        <w:trPr>
          <w:trHeight w:val="636"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3、单价在20万元以上的设备</w:t>
            </w:r>
          </w:p>
        </w:tc>
        <w:tc>
          <w:tcPr>
            <w:tcW w:w="315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color w:val="333333"/>
                <w:kern w:val="0"/>
                <w:sz w:val="22"/>
                <w:szCs w:val="22"/>
              </w:rPr>
            </w:pPr>
            <w:r>
              <w:rPr>
                <w:rFonts w:ascii="微软雅黑" w:hAnsi="微软雅黑" w:cs="宋体"/>
                <w:color w:val="333333"/>
                <w:kern w:val="0"/>
                <w:sz w:val="22"/>
                <w:szCs w:val="22"/>
              </w:rPr>
              <w:t>　</w:t>
            </w:r>
          </w:p>
        </w:tc>
        <w:tc>
          <w:tcPr>
            <w:tcW w:w="510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kern w:val="0"/>
                <w:sz w:val="22"/>
                <w:szCs w:val="22"/>
              </w:rPr>
            </w:pPr>
            <w:r>
              <w:rPr>
                <w:rFonts w:ascii="微软雅黑" w:hAnsi="微软雅黑" w:cs="宋体"/>
                <w:kern w:val="0"/>
                <w:sz w:val="22"/>
                <w:szCs w:val="22"/>
              </w:rPr>
              <w:t>　</w:t>
            </w:r>
          </w:p>
        </w:tc>
      </w:tr>
      <w:tr>
        <w:tblPrEx>
          <w:shd w:val="clear" w:color="auto" w:fill="FFFFFF"/>
          <w:tblCellMar>
            <w:top w:w="0" w:type="dxa"/>
            <w:left w:w="108" w:type="dxa"/>
            <w:bottom w:w="0" w:type="dxa"/>
            <w:right w:w="108" w:type="dxa"/>
          </w:tblCellMar>
        </w:tblPrEx>
        <w:trPr>
          <w:trHeight w:val="636" w:hRule="atLeast"/>
        </w:trPr>
        <w:tc>
          <w:tcPr>
            <w:tcW w:w="522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4、其他固定资产</w:t>
            </w:r>
          </w:p>
        </w:tc>
        <w:tc>
          <w:tcPr>
            <w:tcW w:w="315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微软雅黑" w:hAnsi="微软雅黑" w:cs="宋体"/>
                <w:color w:val="333333"/>
                <w:kern w:val="0"/>
                <w:sz w:val="22"/>
                <w:szCs w:val="22"/>
              </w:rPr>
            </w:pPr>
            <w:r>
              <w:rPr>
                <w:rFonts w:ascii="微软雅黑" w:hAnsi="微软雅黑" w:cs="宋体"/>
                <w:color w:val="333333"/>
                <w:kern w:val="0"/>
                <w:sz w:val="22"/>
                <w:szCs w:val="22"/>
              </w:rPr>
              <w:t>　</w:t>
            </w:r>
          </w:p>
        </w:tc>
        <w:tc>
          <w:tcPr>
            <w:tcW w:w="5103" w:type="dxa"/>
            <w:tcBorders>
              <w:top w:val="nil"/>
              <w:left w:val="nil"/>
              <w:bottom w:val="single" w:color="000000" w:sz="4" w:space="0"/>
              <w:right w:val="single" w:color="000000" w:sz="4" w:space="0"/>
            </w:tcBorders>
            <w:shd w:val="clear" w:color="auto"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402.65</w:t>
            </w:r>
          </w:p>
        </w:tc>
      </w:tr>
    </w:tbl>
    <w:p>
      <w:pPr>
        <w:pStyle w:val="10"/>
        <w:shd w:val="clear" w:color="auto" w:fill="FFFFFF"/>
        <w:spacing w:before="0" w:beforeAutospacing="0" w:after="0" w:afterAutospacing="0" w:line="421" w:lineRule="atLeast"/>
        <w:rPr>
          <w:rFonts w:ascii="仿宋_GB2312" w:hAnsi="微软雅黑" w:eastAsia="仿宋_GB2312"/>
          <w:color w:val="333333"/>
          <w:sz w:val="32"/>
          <w:szCs w:val="32"/>
        </w:rPr>
        <w:sectPr>
          <w:pgSz w:w="16839" w:h="11907" w:orient="landscape"/>
          <w:pgMar w:top="624" w:right="1021" w:bottom="624" w:left="1418" w:header="851" w:footer="992" w:gutter="0"/>
          <w:cols w:space="720" w:num="1"/>
          <w:docGrid w:type="lines" w:linePitch="312" w:charSpace="0"/>
        </w:sectPr>
      </w:pPr>
      <w:r>
        <w:rPr>
          <w:rFonts w:hint="eastAsia" w:ascii="仿宋_GB2312" w:hAnsi="微软雅黑" w:eastAsia="仿宋_GB2312"/>
          <w:color w:val="333333"/>
          <w:sz w:val="32"/>
          <w:szCs w:val="32"/>
        </w:rPr>
        <w:t>上年末固定资产金额为464.46万元（详见下表）。本年度我部门无购置固定资产情况</w:t>
      </w:r>
    </w:p>
    <w:p>
      <w:pPr>
        <w:ind w:firstLine="800" w:firstLineChars="250"/>
        <w:rPr>
          <w:rFonts w:ascii="黑体" w:hAnsi="黑体" w:eastAsia="黑体"/>
          <w:sz w:val="32"/>
          <w:szCs w:val="32"/>
        </w:rPr>
      </w:pPr>
      <w:r>
        <w:rPr>
          <w:rFonts w:hint="eastAsia" w:ascii="黑体" w:hAnsi="黑体" w:eastAsia="黑体"/>
          <w:sz w:val="32"/>
          <w:szCs w:val="32"/>
        </w:rPr>
        <w:t>第八部分</w:t>
      </w:r>
      <w:r>
        <w:rPr>
          <w:rFonts w:ascii="黑体" w:hAnsi="黑体" w:eastAsia="黑体"/>
          <w:sz w:val="32"/>
          <w:szCs w:val="32"/>
        </w:rPr>
        <w:t xml:space="preserve">  </w:t>
      </w:r>
      <w:r>
        <w:rPr>
          <w:rFonts w:hint="eastAsia" w:ascii="黑体" w:hAnsi="黑体" w:eastAsia="黑体"/>
          <w:sz w:val="32"/>
          <w:szCs w:val="32"/>
        </w:rPr>
        <w:t>名词解释</w:t>
      </w:r>
    </w:p>
    <w:p>
      <w:pPr>
        <w:widowControl/>
        <w:numPr>
          <w:ilvl w:val="0"/>
          <w:numId w:val="3"/>
        </w:numPr>
        <w:shd w:val="clear" w:color="auto" w:fill="FFFFFF"/>
        <w:spacing w:line="600" w:lineRule="atLeast"/>
        <w:ind w:firstLine="640"/>
        <w:jc w:val="left"/>
        <w:rPr>
          <w:rFonts w:eastAsia="仿宋_GB2312"/>
          <w:sz w:val="32"/>
          <w:szCs w:val="32"/>
        </w:rPr>
      </w:pPr>
      <w:r>
        <w:rPr>
          <w:rFonts w:eastAsia="仿宋_GB2312"/>
          <w:sz w:val="32"/>
          <w:szCs w:val="32"/>
        </w:rPr>
        <w:t>财政拨款收入：指</w:t>
      </w:r>
      <w:r>
        <w:rPr>
          <w:rFonts w:hint="eastAsia" w:eastAsia="仿宋_GB2312"/>
          <w:sz w:val="32"/>
          <w:szCs w:val="32"/>
        </w:rPr>
        <w:t>区</w:t>
      </w:r>
      <w:r>
        <w:rPr>
          <w:rFonts w:eastAsia="仿宋_GB2312"/>
          <w:sz w:val="32"/>
          <w:szCs w:val="32"/>
        </w:rPr>
        <w:t>财政当年拨付的资金。</w:t>
      </w:r>
    </w:p>
    <w:p>
      <w:pPr>
        <w:widowControl/>
        <w:numPr>
          <w:ilvl w:val="0"/>
          <w:numId w:val="3"/>
        </w:numPr>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基本支出</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基本支出是指预算单位为保障机构正常运转和完成日常工作任务而民生的各项支出，包括人员经费和日常公用经费。</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（三）项目支出</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项目支出是指在基本支出之外为完成特定行政任务和事业民展目标所发生的支出。</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（四）政府采购</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政府采购，指国家各级政府为人事日常的政务活动或为了满足公共服务的止的，利用国家财政性资金儿政府借款购买货物、工程和服务的行为。政府采购不公是指具体的采购过程 ，而且是采购政策、采购程序、采购过程及采购管理的总称，是一种对公共采购管理的制度。</w:t>
      </w:r>
    </w:p>
    <w:p>
      <w:pPr>
        <w:widowControl/>
        <w:shd w:val="clear" w:color="auto" w:fill="FFFFFF"/>
        <w:spacing w:line="600" w:lineRule="atLeast"/>
        <w:ind w:firstLine="640"/>
        <w:jc w:val="left"/>
        <w:rPr>
          <w:rFonts w:ascii="微软雅黑" w:hAnsi="微软雅黑" w:eastAsia="微软雅黑" w:cs="宋体"/>
          <w:color w:val="333333"/>
          <w:kern w:val="0"/>
          <w:sz w:val="25"/>
          <w:szCs w:val="25"/>
        </w:rPr>
      </w:pPr>
      <w:r>
        <w:rPr>
          <w:rFonts w:hint="eastAsia" w:ascii="仿宋_GB2312" w:hAnsi="微软雅黑" w:eastAsia="仿宋_GB2312" w:cs="宋体"/>
          <w:color w:val="333333"/>
          <w:kern w:val="0"/>
          <w:sz w:val="32"/>
          <w:szCs w:val="32"/>
        </w:rPr>
        <w:t>（五）“三公”经费</w:t>
      </w:r>
    </w:p>
    <w:p>
      <w:pPr>
        <w:widowControl/>
        <w:shd w:val="clear" w:color="auto" w:fill="FFFFFF"/>
        <w:spacing w:line="421" w:lineRule="atLeast"/>
        <w:ind w:firstLine="64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纳入财政预决算管理的“三公”经费，是指单位用财政拨款安排的因公出国（境）费、公务用车购置及运行费和公务接待费。</w:t>
      </w:r>
    </w:p>
    <w:p>
      <w:pPr>
        <w:ind w:firstLine="640" w:firstLineChars="200"/>
        <w:rPr>
          <w:rFonts w:ascii="仿宋_GB2312" w:eastAsia="仿宋_GB2312"/>
          <w:sz w:val="32"/>
          <w:szCs w:val="32"/>
        </w:rPr>
      </w:pPr>
      <w:r>
        <w:rPr>
          <w:rFonts w:hint="eastAsia" w:ascii="仿宋_GB2312" w:eastAsia="仿宋_GB2312"/>
          <w:sz w:val="32"/>
          <w:szCs w:val="32"/>
        </w:rPr>
        <w:t>(六）对列支的功能分类进行解释</w:t>
      </w:r>
    </w:p>
    <w:p>
      <w:pPr>
        <w:ind w:firstLine="640" w:firstLineChars="200"/>
        <w:rPr>
          <w:rFonts w:ascii="仿宋_GB2312" w:eastAsia="仿宋_GB2312"/>
          <w:sz w:val="32"/>
          <w:szCs w:val="32"/>
        </w:rPr>
      </w:pPr>
      <w:r>
        <w:rPr>
          <w:rFonts w:hint="eastAsia" w:ascii="仿宋_GB2312" w:eastAsia="仿宋_GB2312"/>
          <w:sz w:val="32"/>
          <w:szCs w:val="32"/>
        </w:rPr>
        <w:t>（1）社会保障和就业支出（类）行政事业单位离退休（款）：反映用于行政事业单位离退休方面的支出。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未归口管理的行政单位离、退休（项）：反映未实行归口管理的行政单位（包括实行公务员管理的事业单位）开支的离退休支出。</w:t>
      </w:r>
    </w:p>
    <w:p>
      <w:pPr>
        <w:ind w:firstLine="640" w:firstLineChars="200"/>
        <w:rPr>
          <w:rFonts w:eastAsia="仿宋_GB2312"/>
          <w:sz w:val="32"/>
          <w:szCs w:val="32"/>
        </w:rPr>
      </w:pPr>
      <w:r>
        <w:rPr>
          <w:rFonts w:hint="eastAsia" w:eastAsia="仿宋_GB2312"/>
          <w:sz w:val="32"/>
          <w:szCs w:val="32"/>
        </w:rPr>
        <w:t>机关事业单位基本养老保险缴费支出（项）：</w:t>
      </w:r>
      <w:r>
        <w:rPr>
          <w:rFonts w:hint="eastAsia" w:ascii="仿宋_GB2312" w:eastAsia="仿宋_GB2312"/>
          <w:sz w:val="32"/>
          <w:szCs w:val="32"/>
        </w:rPr>
        <w:t>反映</w:t>
      </w:r>
      <w:r>
        <w:rPr>
          <w:rFonts w:hint="eastAsia" w:eastAsia="仿宋_GB2312"/>
          <w:sz w:val="32"/>
          <w:szCs w:val="32"/>
        </w:rPr>
        <w:t>用于机关事业单位实施养老保险制度由单位缴纳的基本养老保险费支出。</w:t>
      </w:r>
    </w:p>
    <w:p>
      <w:pPr>
        <w:ind w:firstLine="640" w:firstLineChars="200"/>
        <w:rPr>
          <w:rFonts w:eastAsia="仿宋_GB2312"/>
          <w:sz w:val="32"/>
          <w:szCs w:val="32"/>
        </w:rPr>
      </w:pPr>
      <w:r>
        <w:rPr>
          <w:rFonts w:hint="eastAsia" w:eastAsia="仿宋_GB2312"/>
          <w:sz w:val="32"/>
          <w:szCs w:val="32"/>
        </w:rPr>
        <w:t>机关事业单位职业年金缴费支出（项）：</w:t>
      </w:r>
      <w:r>
        <w:rPr>
          <w:rFonts w:hint="eastAsia" w:ascii="仿宋_GB2312" w:eastAsia="仿宋_GB2312"/>
          <w:sz w:val="32"/>
          <w:szCs w:val="32"/>
        </w:rPr>
        <w:t>反映</w:t>
      </w:r>
      <w:r>
        <w:rPr>
          <w:rFonts w:hint="eastAsia" w:eastAsia="仿宋_GB2312"/>
          <w:sz w:val="32"/>
          <w:szCs w:val="32"/>
        </w:rPr>
        <w:t>用于机关事业单位实施养老保险制度由单位实际缴纳的职业年金支出。</w:t>
      </w:r>
    </w:p>
    <w:p>
      <w:pPr>
        <w:ind w:firstLine="640" w:firstLineChars="200"/>
        <w:rPr>
          <w:rFonts w:eastAsia="仿宋_GB2312"/>
          <w:sz w:val="32"/>
          <w:szCs w:val="32"/>
        </w:rPr>
      </w:pPr>
      <w:r>
        <w:rPr>
          <w:rFonts w:hint="eastAsia" w:eastAsia="仿宋_GB2312"/>
          <w:sz w:val="32"/>
          <w:szCs w:val="32"/>
        </w:rPr>
        <w:t>其他行政事业单位离退休支出（项）：</w:t>
      </w:r>
      <w:r>
        <w:rPr>
          <w:rFonts w:hint="eastAsia" w:ascii="仿宋_GB2312" w:eastAsia="仿宋_GB2312"/>
          <w:sz w:val="32"/>
          <w:szCs w:val="32"/>
        </w:rPr>
        <w:t>反映</w:t>
      </w:r>
      <w:r>
        <w:rPr>
          <w:rFonts w:hint="eastAsia" w:eastAsia="仿宋_GB2312"/>
          <w:sz w:val="32"/>
          <w:szCs w:val="32"/>
        </w:rPr>
        <w:t>其他用于行政事业单位离退休方面的支出。</w:t>
      </w:r>
    </w:p>
    <w:p>
      <w:pPr>
        <w:ind w:firstLine="640" w:firstLineChars="200"/>
        <w:rPr>
          <w:rFonts w:eastAsia="仿宋_GB2312"/>
          <w:sz w:val="32"/>
          <w:szCs w:val="32"/>
        </w:rPr>
      </w:pPr>
      <w:r>
        <w:rPr>
          <w:rFonts w:hint="eastAsia" w:eastAsia="仿宋_GB2312"/>
          <w:sz w:val="32"/>
          <w:szCs w:val="32"/>
        </w:rPr>
        <w:t>（2）</w:t>
      </w:r>
      <w:r>
        <w:rPr>
          <w:rFonts w:hint="eastAsia" w:ascii="仿宋_GB2312" w:eastAsia="仿宋_GB2312"/>
          <w:sz w:val="32"/>
          <w:szCs w:val="32"/>
        </w:rPr>
        <w:t>社会保障和就业支出（类）其他社会保障和就业支出（款）：反映上述项目以外用于社会保障和就业方面的支出。</w:t>
      </w:r>
    </w:p>
    <w:p>
      <w:pPr>
        <w:ind w:firstLine="640" w:firstLineChars="200"/>
        <w:rPr>
          <w:rFonts w:eastAsia="仿宋_GB2312"/>
          <w:sz w:val="32"/>
          <w:szCs w:val="32"/>
        </w:rPr>
      </w:pPr>
      <w:r>
        <w:rPr>
          <w:rFonts w:hint="eastAsia" w:ascii="仿宋_GB2312" w:eastAsia="仿宋_GB2312"/>
          <w:sz w:val="32"/>
          <w:szCs w:val="32"/>
        </w:rPr>
        <w:t>其他社会保障和就业支出</w:t>
      </w:r>
      <w:r>
        <w:rPr>
          <w:rFonts w:hint="eastAsia" w:eastAsia="仿宋_GB2312"/>
          <w:sz w:val="32"/>
          <w:szCs w:val="32"/>
        </w:rPr>
        <w:t>（项）：</w:t>
      </w:r>
      <w:r>
        <w:rPr>
          <w:rFonts w:hint="eastAsia" w:ascii="仿宋_GB2312" w:eastAsia="仿宋_GB2312"/>
          <w:sz w:val="32"/>
          <w:szCs w:val="32"/>
        </w:rPr>
        <w:t>反映上述项目以外用于社会保障和就业方面的支出。</w:t>
      </w:r>
    </w:p>
    <w:p>
      <w:pPr>
        <w:ind w:firstLine="640" w:firstLineChars="200"/>
        <w:rPr>
          <w:rFonts w:eastAsia="仿宋_GB2312"/>
          <w:sz w:val="32"/>
          <w:szCs w:val="32"/>
        </w:rPr>
      </w:pPr>
      <w:r>
        <w:rPr>
          <w:rFonts w:hint="eastAsia" w:eastAsia="仿宋_GB2312"/>
          <w:sz w:val="32"/>
          <w:szCs w:val="32"/>
        </w:rPr>
        <w:t>（3）卫生健康支出（类）行政事业单位医疗（款）：反映行政事业单位医疗方面的支出。</w:t>
      </w:r>
    </w:p>
    <w:p>
      <w:pPr>
        <w:ind w:firstLine="640" w:firstLineChars="200"/>
        <w:rPr>
          <w:rFonts w:eastAsia="仿宋_GB2312"/>
          <w:sz w:val="32"/>
          <w:szCs w:val="32"/>
        </w:rPr>
      </w:pPr>
      <w:r>
        <w:rPr>
          <w:rFonts w:hint="eastAsia" w:eastAsia="仿宋_GB2312"/>
          <w:sz w:val="32"/>
          <w:szCs w:val="32"/>
        </w:rPr>
        <w:t>事业单位医疗（项）：反映财政部门集中安排的事业单位基本医疗保险缴费经费，未参加医疗保险的事业单位的公费医疗经费，按国家规定享受离休人员待遇的医疗经费。</w:t>
      </w:r>
    </w:p>
    <w:p>
      <w:pPr>
        <w:numPr>
          <w:ilvl w:val="0"/>
          <w:numId w:val="4"/>
        </w:numPr>
        <w:ind w:firstLine="640" w:firstLineChars="200"/>
        <w:rPr>
          <w:rFonts w:eastAsia="仿宋_GB2312"/>
          <w:sz w:val="32"/>
          <w:szCs w:val="32"/>
        </w:rPr>
      </w:pPr>
      <w:r>
        <w:rPr>
          <w:rFonts w:hint="eastAsia" w:eastAsia="仿宋_GB2312"/>
          <w:sz w:val="32"/>
          <w:szCs w:val="32"/>
        </w:rPr>
        <w:t>农林水支出（类）农业（款）：反映政府用于种植业、畜牧业、渔业、兽医、农机、农垦、农场农业产业化经营组织、农村和垦区公益事业、农产品加工等方面的支出。</w:t>
      </w:r>
    </w:p>
    <w:p>
      <w:pPr>
        <w:rPr>
          <w:rFonts w:eastAsia="仿宋_GB2312"/>
          <w:sz w:val="32"/>
          <w:szCs w:val="32"/>
        </w:rPr>
      </w:pPr>
      <w:r>
        <w:rPr>
          <w:rFonts w:hint="eastAsia" w:eastAsia="仿宋_GB2312"/>
          <w:sz w:val="32"/>
          <w:szCs w:val="32"/>
        </w:rPr>
        <w:t xml:space="preserve">    病虫害控制（项）：反映用于病虫鼠害及疫情监测、预报、预防、控制、检疫、防疫所需的仪器、设施、药物、疫苗、种苗，疫畜（禽、鱼、植物）防治、扑杀补偿及劳务补助、菌（毒）种保藏及动植物及其产品检疫、检测等方面的支出。</w:t>
      </w:r>
    </w:p>
    <w:p>
      <w:pPr>
        <w:numPr>
          <w:ilvl w:val="0"/>
          <w:numId w:val="4"/>
        </w:numPr>
        <w:ind w:firstLine="640" w:firstLineChars="200"/>
        <w:rPr>
          <w:rFonts w:eastAsia="仿宋_GB2312"/>
          <w:sz w:val="32"/>
          <w:szCs w:val="32"/>
        </w:rPr>
      </w:pPr>
      <w:r>
        <w:rPr>
          <w:rFonts w:hint="eastAsia" w:eastAsia="仿宋_GB2312"/>
          <w:sz w:val="32"/>
          <w:szCs w:val="32"/>
        </w:rPr>
        <w:t>节能环保支出（类）自然生态保护（款）：反映生态保护、生态修复、生物多样性保护、农村环境保护和生物安全管理等方面的支出。</w:t>
      </w:r>
    </w:p>
    <w:p>
      <w:pPr>
        <w:rPr>
          <w:rFonts w:eastAsia="仿宋_GB2312"/>
          <w:sz w:val="32"/>
          <w:szCs w:val="32"/>
        </w:rPr>
      </w:pPr>
      <w:r>
        <w:rPr>
          <w:rFonts w:hint="eastAsia" w:eastAsia="仿宋_GB2312"/>
          <w:sz w:val="32"/>
          <w:szCs w:val="32"/>
        </w:rPr>
        <w:t xml:space="preserve">     农村环境保护（项）：反映用于农村环境保护方面的支出。如美丽乡村建设支出</w:t>
      </w:r>
    </w:p>
    <w:p>
      <w:pPr>
        <w:numPr>
          <w:ilvl w:val="0"/>
          <w:numId w:val="4"/>
        </w:numPr>
        <w:ind w:firstLine="640" w:firstLineChars="200"/>
        <w:rPr>
          <w:rFonts w:eastAsia="仿宋_GB2312"/>
          <w:sz w:val="32"/>
          <w:szCs w:val="32"/>
        </w:rPr>
      </w:pPr>
      <w:r>
        <w:rPr>
          <w:rFonts w:hint="eastAsia" w:eastAsia="仿宋_GB2312"/>
          <w:sz w:val="32"/>
          <w:szCs w:val="32"/>
        </w:rPr>
        <w:t>农林水支出（类）农业（款）：反映政府用于种植业、畜牧业、渔业、兽医、农机、农垦、农场农业产业化经营组织、农村和垦区公益事业、农产品加工等方面的支出。</w:t>
      </w:r>
    </w:p>
    <w:p>
      <w:pPr>
        <w:ind w:firstLine="800" w:firstLineChars="250"/>
        <w:rPr>
          <w:rFonts w:eastAsia="仿宋_GB2312"/>
          <w:sz w:val="32"/>
          <w:szCs w:val="32"/>
        </w:rPr>
      </w:pPr>
      <w:r>
        <w:rPr>
          <w:rFonts w:hint="eastAsia" w:eastAsia="仿宋_GB2312"/>
          <w:sz w:val="32"/>
          <w:szCs w:val="32"/>
        </w:rPr>
        <w:t>其他农业支出（项）：反映其他农业方面的支出。如征地拆迁评估费等。</w:t>
      </w:r>
    </w:p>
    <w:p>
      <w:pPr>
        <w:tabs>
          <w:tab w:val="left" w:pos="1142"/>
        </w:tabs>
        <w:ind w:firstLine="640" w:firstLineChars="200"/>
        <w:rPr>
          <w:rFonts w:eastAsia="仿宋_GB2312"/>
          <w:sz w:val="32"/>
          <w:szCs w:val="32"/>
        </w:rPr>
      </w:pPr>
      <w:r>
        <w:rPr>
          <w:rFonts w:hint="eastAsia" w:eastAsia="仿宋_GB2312"/>
          <w:sz w:val="32"/>
          <w:szCs w:val="32"/>
        </w:rPr>
        <w:t>（7）农林水支出（类）林业和草原（款）：反映政府用于林业和草原方面的支出。</w:t>
      </w:r>
    </w:p>
    <w:p>
      <w:pPr>
        <w:tabs>
          <w:tab w:val="left" w:pos="1142"/>
        </w:tabs>
        <w:ind w:firstLine="640" w:firstLineChars="200"/>
        <w:rPr>
          <w:rFonts w:eastAsia="仿宋_GB2312"/>
          <w:sz w:val="32"/>
          <w:szCs w:val="32"/>
        </w:rPr>
      </w:pPr>
      <w:r>
        <w:rPr>
          <w:rFonts w:hint="eastAsia" w:eastAsia="仿宋_GB2312"/>
          <w:sz w:val="32"/>
          <w:szCs w:val="32"/>
        </w:rPr>
        <w:t>防灾减灾（项）：反映病虫害等有害生物灾害、野生动物疫病等方面的支出。</w:t>
      </w:r>
    </w:p>
    <w:p>
      <w:pPr>
        <w:ind w:firstLine="640" w:firstLineChars="200"/>
        <w:rPr>
          <w:rFonts w:eastAsia="仿宋_GB2312"/>
          <w:sz w:val="32"/>
          <w:szCs w:val="32"/>
        </w:rPr>
      </w:pPr>
      <w:r>
        <w:rPr>
          <w:rFonts w:hint="eastAsia" w:eastAsia="仿宋_GB2312"/>
          <w:sz w:val="32"/>
          <w:szCs w:val="32"/>
        </w:rPr>
        <w:t>（8）住房保障支出（类）住房改革支出（款）：反映行政事业单位用财政拨款资金和其他资金等安排的住房改革支出。</w:t>
      </w:r>
    </w:p>
    <w:p>
      <w:pPr>
        <w:ind w:firstLine="640" w:firstLineChars="200"/>
        <w:rPr>
          <w:rFonts w:eastAsia="仿宋_GB2312"/>
          <w:sz w:val="32"/>
          <w:szCs w:val="32"/>
        </w:rPr>
      </w:pPr>
      <w:r>
        <w:rPr>
          <w:rFonts w:hint="eastAsia" w:eastAsia="仿宋_GB2312"/>
          <w:sz w:val="32"/>
          <w:szCs w:val="32"/>
        </w:rPr>
        <w:t>住房公积金（项）：反映行政事业单位按人力资源和社会保障部、财政部规定的基本工资和津贴补贴以及规定比例为职工缴纳的住房公积金。</w:t>
      </w:r>
    </w:p>
    <w:p>
      <w:pPr>
        <w:ind w:firstLine="643" w:firstLineChars="200"/>
        <w:rPr>
          <w:rFonts w:ascii="仿宋_GB2312" w:eastAsia="仿宋_GB2312"/>
          <w:b/>
          <w:sz w:val="32"/>
          <w:szCs w:val="32"/>
        </w:rPr>
      </w:pPr>
      <w:r>
        <w:rPr>
          <w:rFonts w:hint="eastAsia" w:ascii="仿宋_GB2312" w:eastAsia="仿宋_GB2312"/>
          <w:b/>
          <w:sz w:val="32"/>
          <w:szCs w:val="32"/>
        </w:rPr>
        <w:t>第九部分  其他需要说明的事项</w:t>
      </w:r>
    </w:p>
    <w:p>
      <w:pPr>
        <w:widowControl/>
        <w:shd w:val="clear" w:color="auto" w:fill="FFFFFF"/>
        <w:spacing w:line="421" w:lineRule="atLeast"/>
        <w:ind w:firstLine="640"/>
        <w:jc w:val="left"/>
        <w:rPr>
          <w:rFonts w:ascii="仿宋_GB2312" w:hAnsi="微软雅黑" w:eastAsia="仿宋_GB2312" w:cs="宋体"/>
          <w:color w:val="333333"/>
          <w:kern w:val="0"/>
          <w:sz w:val="32"/>
          <w:szCs w:val="32"/>
        </w:rPr>
      </w:pPr>
      <w:r>
        <w:rPr>
          <w:rFonts w:hint="eastAsia" w:ascii="仿宋_GB2312" w:eastAsia="仿宋_GB2312"/>
          <w:sz w:val="32"/>
          <w:szCs w:val="32"/>
        </w:rPr>
        <w:t>我部门预算信息公开无其他需要说明的事项。</w:t>
      </w:r>
    </w:p>
    <w:p>
      <w:pPr>
        <w:widowControl/>
        <w:shd w:val="clear" w:color="auto" w:fill="FFFFFF"/>
        <w:spacing w:line="421" w:lineRule="atLeast"/>
        <w:ind w:left="198" w:firstLine="640"/>
        <w:jc w:val="left"/>
      </w:pPr>
    </w:p>
    <w:sectPr>
      <w:pgSz w:w="16839" w:h="11907" w:orient="landscape"/>
      <w:pgMar w:top="1361" w:right="1020" w:bottom="1361"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D210D"/>
    <w:multiLevelType w:val="multilevel"/>
    <w:tmpl w:val="398D21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5C583E"/>
    <w:multiLevelType w:val="singleLevel"/>
    <w:tmpl w:val="595C583E"/>
    <w:lvl w:ilvl="0" w:tentative="0">
      <w:start w:val="4"/>
      <w:numFmt w:val="decimal"/>
      <w:suff w:val="nothing"/>
      <w:lvlText w:val="（%1）"/>
      <w:lvlJc w:val="left"/>
    </w:lvl>
  </w:abstractNum>
  <w:abstractNum w:abstractNumId="2">
    <w:nsid w:val="595C5B38"/>
    <w:multiLevelType w:val="singleLevel"/>
    <w:tmpl w:val="595C5B38"/>
    <w:lvl w:ilvl="0" w:tentative="0">
      <w:start w:val="1"/>
      <w:numFmt w:val="chineseCounting"/>
      <w:suff w:val="nothing"/>
      <w:lvlText w:val="（%1）"/>
      <w:lvlJc w:val="left"/>
    </w:lvl>
  </w:abstractNum>
  <w:abstractNum w:abstractNumId="3">
    <w:nsid w:val="6A410C3D"/>
    <w:multiLevelType w:val="multilevel"/>
    <w:tmpl w:val="6A410C3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MyZGEwMThhNTM3YTY0N2U2NmY3MzkzODM5YWI5MmIifQ=="/>
    <w:docVar w:name="KSO_WPS_MARK_KEY" w:val="cabda12e-eac2-4c77-946a-e84ede73362d"/>
  </w:docVars>
  <w:rsids>
    <w:rsidRoot w:val="00BE711D"/>
    <w:rsid w:val="00001DFE"/>
    <w:rsid w:val="00012D5F"/>
    <w:rsid w:val="00015A83"/>
    <w:rsid w:val="00016008"/>
    <w:rsid w:val="000168DC"/>
    <w:rsid w:val="00053AEE"/>
    <w:rsid w:val="0007183C"/>
    <w:rsid w:val="0008575F"/>
    <w:rsid w:val="00087997"/>
    <w:rsid w:val="000A2648"/>
    <w:rsid w:val="000A5347"/>
    <w:rsid w:val="000C0367"/>
    <w:rsid w:val="000C344C"/>
    <w:rsid w:val="000D2BB0"/>
    <w:rsid w:val="000E4E63"/>
    <w:rsid w:val="00123617"/>
    <w:rsid w:val="00146E04"/>
    <w:rsid w:val="00160E62"/>
    <w:rsid w:val="001A3110"/>
    <w:rsid w:val="001B0EBB"/>
    <w:rsid w:val="001F72B2"/>
    <w:rsid w:val="002173A6"/>
    <w:rsid w:val="002257C7"/>
    <w:rsid w:val="00227FBA"/>
    <w:rsid w:val="00234361"/>
    <w:rsid w:val="0024529D"/>
    <w:rsid w:val="002467CE"/>
    <w:rsid w:val="00252203"/>
    <w:rsid w:val="00267567"/>
    <w:rsid w:val="0027564D"/>
    <w:rsid w:val="00275CEE"/>
    <w:rsid w:val="002861E3"/>
    <w:rsid w:val="00292801"/>
    <w:rsid w:val="0029409E"/>
    <w:rsid w:val="002A04AD"/>
    <w:rsid w:val="002D2A41"/>
    <w:rsid w:val="0030045E"/>
    <w:rsid w:val="00302D55"/>
    <w:rsid w:val="00305576"/>
    <w:rsid w:val="00311D47"/>
    <w:rsid w:val="0033196C"/>
    <w:rsid w:val="0034104D"/>
    <w:rsid w:val="00343706"/>
    <w:rsid w:val="00345E98"/>
    <w:rsid w:val="00346351"/>
    <w:rsid w:val="003468FC"/>
    <w:rsid w:val="0036178C"/>
    <w:rsid w:val="00367E49"/>
    <w:rsid w:val="00370858"/>
    <w:rsid w:val="00371811"/>
    <w:rsid w:val="00375143"/>
    <w:rsid w:val="003923DC"/>
    <w:rsid w:val="003C551B"/>
    <w:rsid w:val="003C5BDF"/>
    <w:rsid w:val="003C6FA7"/>
    <w:rsid w:val="003D12CA"/>
    <w:rsid w:val="003E6FD2"/>
    <w:rsid w:val="00402EAC"/>
    <w:rsid w:val="00403EB2"/>
    <w:rsid w:val="00415238"/>
    <w:rsid w:val="00415903"/>
    <w:rsid w:val="004301E0"/>
    <w:rsid w:val="00431B48"/>
    <w:rsid w:val="00453D41"/>
    <w:rsid w:val="0046074E"/>
    <w:rsid w:val="00465110"/>
    <w:rsid w:val="004723DC"/>
    <w:rsid w:val="00485FFF"/>
    <w:rsid w:val="004B61B4"/>
    <w:rsid w:val="004C0EBB"/>
    <w:rsid w:val="004C4D1F"/>
    <w:rsid w:val="004C6D99"/>
    <w:rsid w:val="004E15C8"/>
    <w:rsid w:val="004F7AAA"/>
    <w:rsid w:val="005207E0"/>
    <w:rsid w:val="00536F15"/>
    <w:rsid w:val="005544EE"/>
    <w:rsid w:val="00560C80"/>
    <w:rsid w:val="00571B2B"/>
    <w:rsid w:val="005A1C17"/>
    <w:rsid w:val="005B1642"/>
    <w:rsid w:val="005B5AB1"/>
    <w:rsid w:val="005C1E14"/>
    <w:rsid w:val="005D0FCE"/>
    <w:rsid w:val="005D6AFC"/>
    <w:rsid w:val="005E5E2E"/>
    <w:rsid w:val="005F70F4"/>
    <w:rsid w:val="006032C5"/>
    <w:rsid w:val="00604DB5"/>
    <w:rsid w:val="0061632B"/>
    <w:rsid w:val="00642085"/>
    <w:rsid w:val="00647D28"/>
    <w:rsid w:val="00650EA8"/>
    <w:rsid w:val="0065479E"/>
    <w:rsid w:val="00660367"/>
    <w:rsid w:val="006668C0"/>
    <w:rsid w:val="006826BA"/>
    <w:rsid w:val="00683211"/>
    <w:rsid w:val="00685855"/>
    <w:rsid w:val="006A4635"/>
    <w:rsid w:val="006A7350"/>
    <w:rsid w:val="006C1F16"/>
    <w:rsid w:val="006F7FF1"/>
    <w:rsid w:val="00714C48"/>
    <w:rsid w:val="00720431"/>
    <w:rsid w:val="00734C55"/>
    <w:rsid w:val="00736587"/>
    <w:rsid w:val="007453F2"/>
    <w:rsid w:val="00782EAC"/>
    <w:rsid w:val="00783B9E"/>
    <w:rsid w:val="0078690B"/>
    <w:rsid w:val="00792EE0"/>
    <w:rsid w:val="007A0A44"/>
    <w:rsid w:val="007A2236"/>
    <w:rsid w:val="007A2AD1"/>
    <w:rsid w:val="007B1DE2"/>
    <w:rsid w:val="007C1D35"/>
    <w:rsid w:val="007D4A81"/>
    <w:rsid w:val="0084497F"/>
    <w:rsid w:val="008528A8"/>
    <w:rsid w:val="0085468C"/>
    <w:rsid w:val="00873896"/>
    <w:rsid w:val="008822B6"/>
    <w:rsid w:val="00882654"/>
    <w:rsid w:val="008C30AC"/>
    <w:rsid w:val="008D5D99"/>
    <w:rsid w:val="008E19A5"/>
    <w:rsid w:val="008F6D77"/>
    <w:rsid w:val="009063EB"/>
    <w:rsid w:val="009152CE"/>
    <w:rsid w:val="00926940"/>
    <w:rsid w:val="00927F75"/>
    <w:rsid w:val="009318EE"/>
    <w:rsid w:val="00971189"/>
    <w:rsid w:val="00971546"/>
    <w:rsid w:val="009810B4"/>
    <w:rsid w:val="00991294"/>
    <w:rsid w:val="009A2266"/>
    <w:rsid w:val="009C0602"/>
    <w:rsid w:val="009C212D"/>
    <w:rsid w:val="009F65EB"/>
    <w:rsid w:val="00A2060C"/>
    <w:rsid w:val="00A719FF"/>
    <w:rsid w:val="00A85525"/>
    <w:rsid w:val="00AC0227"/>
    <w:rsid w:val="00AC116E"/>
    <w:rsid w:val="00AD4FB9"/>
    <w:rsid w:val="00AD5F3C"/>
    <w:rsid w:val="00AE5316"/>
    <w:rsid w:val="00AE6048"/>
    <w:rsid w:val="00B05D27"/>
    <w:rsid w:val="00B14F90"/>
    <w:rsid w:val="00B16C04"/>
    <w:rsid w:val="00B325D2"/>
    <w:rsid w:val="00B35DC1"/>
    <w:rsid w:val="00B41C0A"/>
    <w:rsid w:val="00B55588"/>
    <w:rsid w:val="00B951C8"/>
    <w:rsid w:val="00BD1770"/>
    <w:rsid w:val="00BE5496"/>
    <w:rsid w:val="00BE711D"/>
    <w:rsid w:val="00BF77D2"/>
    <w:rsid w:val="00C02972"/>
    <w:rsid w:val="00C41074"/>
    <w:rsid w:val="00C67082"/>
    <w:rsid w:val="00C76FD7"/>
    <w:rsid w:val="00C85824"/>
    <w:rsid w:val="00C94098"/>
    <w:rsid w:val="00CC2117"/>
    <w:rsid w:val="00CC60B9"/>
    <w:rsid w:val="00CD038A"/>
    <w:rsid w:val="00CD1FAC"/>
    <w:rsid w:val="00CE0340"/>
    <w:rsid w:val="00CE0679"/>
    <w:rsid w:val="00CE2B5C"/>
    <w:rsid w:val="00CF72DD"/>
    <w:rsid w:val="00D0060F"/>
    <w:rsid w:val="00D62F42"/>
    <w:rsid w:val="00D75704"/>
    <w:rsid w:val="00D821D9"/>
    <w:rsid w:val="00D83166"/>
    <w:rsid w:val="00DA4C72"/>
    <w:rsid w:val="00DB2887"/>
    <w:rsid w:val="00DB37A9"/>
    <w:rsid w:val="00DB675B"/>
    <w:rsid w:val="00DC0604"/>
    <w:rsid w:val="00DC55EB"/>
    <w:rsid w:val="00DD0303"/>
    <w:rsid w:val="00DE4EBF"/>
    <w:rsid w:val="00E256A6"/>
    <w:rsid w:val="00E25CA2"/>
    <w:rsid w:val="00E3195A"/>
    <w:rsid w:val="00E51837"/>
    <w:rsid w:val="00E65ED6"/>
    <w:rsid w:val="00E709EA"/>
    <w:rsid w:val="00E70A4D"/>
    <w:rsid w:val="00E950C0"/>
    <w:rsid w:val="00E96584"/>
    <w:rsid w:val="00EA0B56"/>
    <w:rsid w:val="00EB12DA"/>
    <w:rsid w:val="00EC1938"/>
    <w:rsid w:val="00EC2252"/>
    <w:rsid w:val="00EF0936"/>
    <w:rsid w:val="00EF22C3"/>
    <w:rsid w:val="00F02B46"/>
    <w:rsid w:val="00F03FB0"/>
    <w:rsid w:val="00F11D5B"/>
    <w:rsid w:val="00F42A4C"/>
    <w:rsid w:val="00F47D69"/>
    <w:rsid w:val="00F75A0F"/>
    <w:rsid w:val="00F81767"/>
    <w:rsid w:val="00F868A6"/>
    <w:rsid w:val="00F94F3F"/>
    <w:rsid w:val="00F96409"/>
    <w:rsid w:val="00FA135C"/>
    <w:rsid w:val="00FA72DE"/>
    <w:rsid w:val="00FA7DA2"/>
    <w:rsid w:val="00FC7EDC"/>
    <w:rsid w:val="00FD261F"/>
    <w:rsid w:val="00FE0305"/>
    <w:rsid w:val="00FE16DC"/>
    <w:rsid w:val="00FE1D2C"/>
    <w:rsid w:val="00FE55FF"/>
    <w:rsid w:val="00FF33C6"/>
    <w:rsid w:val="1C0913C0"/>
    <w:rsid w:val="3B3B4619"/>
    <w:rsid w:val="3BFC084B"/>
    <w:rsid w:val="463B0949"/>
    <w:rsid w:val="4E59525A"/>
    <w:rsid w:val="7866306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8"/>
    <w:uiPriority w:val="0"/>
    <w:pPr>
      <w:ind w:firstLine="640" w:firstLineChars="200"/>
    </w:pPr>
    <w:rPr>
      <w:rFonts w:eastAsia="仿宋_GB2312"/>
      <w:sz w:val="32"/>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locked/>
    <w:uiPriority w:val="0"/>
    <w:rPr>
      <w:rFonts w:eastAsia="仿宋_GB2312"/>
      <w:kern w:val="2"/>
      <w:sz w:val="32"/>
      <w:szCs w:val="24"/>
      <w:lang w:val="en-US" w:eastAsia="zh-CN" w:bidi="ar-SA"/>
    </w:rPr>
  </w:style>
  <w:style w:type="paragraph" w:customStyle="1" w:styleId="9">
    <w:name w:val="列出段落1"/>
    <w:basedOn w:val="1"/>
    <w:uiPriority w:val="0"/>
    <w:pPr>
      <w:ind w:firstLine="420" w:firstLineChars="200"/>
    </w:pPr>
  </w:style>
  <w:style w:type="paragraph" w:customStyle="1" w:styleId="10">
    <w:name w:val="p0"/>
    <w:basedOn w:val="1"/>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0"/>
    <w:pPr>
      <w:ind w:firstLine="420" w:firstLineChars="200"/>
    </w:pPr>
    <w:rPr>
      <w:rFonts w:ascii="Calibri" w:hAnsi="Calibri"/>
      <w:szCs w:val="22"/>
    </w:rPr>
  </w:style>
  <w:style w:type="character" w:customStyle="1" w:styleId="12">
    <w:name w:val="页眉 Char"/>
    <w:link w:val="5"/>
    <w:uiPriority w:val="0"/>
    <w:rPr>
      <w:rFonts w:eastAsia="宋体"/>
      <w:kern w:val="2"/>
      <w:sz w:val="18"/>
      <w:szCs w:val="18"/>
      <w:lang w:val="en-US" w:eastAsia="zh-CN" w:bidi="ar-SA"/>
    </w:rPr>
  </w:style>
  <w:style w:type="character" w:customStyle="1" w:styleId="13">
    <w:name w:val="页脚 Char"/>
    <w:link w:val="4"/>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14605</Words>
  <Characters>15686</Characters>
  <Lines>119</Lines>
  <Paragraphs>33</Paragraphs>
  <TotalTime>12</TotalTime>
  <ScaleCrop>false</ScaleCrop>
  <LinksUpToDate>false</LinksUpToDate>
  <CharactersWithSpaces>15914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2019-03-25T08:08:00Z</dcterms:created>
  <dc:creator>AutoBVT</dc:creator>
  <cp:lastModifiedBy>芯鈊</cp:lastModifiedBy>
  <dcterms:modified xsi:type="dcterms:W3CDTF">2024-12-05T00:35:52Z</dcterms:modified>
  <dc:title>按照《预算法》、《地方预决算公开操作规程》和《河北省省级预算公开办法》规定，现将2017年部门预算公开如下：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E1AAACB8693C489988664E30E87EE3DA_12</vt:lpwstr>
  </property>
</Properties>
</file>